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97" w:rsidRDefault="006D0F97" w:rsidP="006D0F97">
      <w:pPr>
        <w:rPr>
          <w:sz w:val="24"/>
          <w:szCs w:val="24"/>
        </w:rPr>
      </w:pPr>
      <w:bookmarkStart w:id="0" w:name="_GoBack"/>
      <w:bookmarkEnd w:id="0"/>
      <w:r>
        <w:rPr>
          <w:rFonts w:hint="eastAsia"/>
          <w:sz w:val="24"/>
          <w:szCs w:val="24"/>
        </w:rPr>
        <w:t>別紙</w:t>
      </w:r>
    </w:p>
    <w:p w:rsidR="006D0F97" w:rsidRDefault="006D0F97" w:rsidP="006D0F97">
      <w:pPr>
        <w:rPr>
          <w:sz w:val="24"/>
          <w:szCs w:val="24"/>
        </w:rPr>
      </w:pPr>
    </w:p>
    <w:p w:rsidR="006D0F97" w:rsidRDefault="006D0F97" w:rsidP="006D0F97">
      <w:pPr>
        <w:jc w:val="center"/>
        <w:rPr>
          <w:sz w:val="24"/>
          <w:szCs w:val="24"/>
        </w:rPr>
      </w:pPr>
      <w:r>
        <w:rPr>
          <w:rFonts w:hint="eastAsia"/>
          <w:sz w:val="24"/>
          <w:szCs w:val="24"/>
        </w:rPr>
        <w:t>導入促進基本計画</w:t>
      </w:r>
    </w:p>
    <w:p w:rsidR="006D0F97" w:rsidRDefault="006D0F97" w:rsidP="006D0F97">
      <w:pPr>
        <w:rPr>
          <w:sz w:val="24"/>
          <w:szCs w:val="24"/>
        </w:rPr>
      </w:pPr>
    </w:p>
    <w:p w:rsidR="006D0F97" w:rsidRDefault="006D0F97" w:rsidP="006D0F97">
      <w:pPr>
        <w:rPr>
          <w:sz w:val="24"/>
          <w:szCs w:val="24"/>
        </w:rPr>
      </w:pPr>
      <w:r>
        <w:rPr>
          <w:rFonts w:hint="eastAsia"/>
          <w:sz w:val="24"/>
          <w:szCs w:val="24"/>
        </w:rPr>
        <w:t>１　先端設備等の導入の促進の目標</w:t>
      </w:r>
    </w:p>
    <w:p w:rsidR="006D0F97" w:rsidRPr="006D0F97" w:rsidRDefault="006D0F97" w:rsidP="006D0F97">
      <w:pPr>
        <w:rPr>
          <w:rFonts w:asciiTheme="minorEastAsia" w:hAnsiTheme="minorEastAsia"/>
          <w:sz w:val="24"/>
          <w:szCs w:val="24"/>
        </w:rPr>
      </w:pPr>
      <w:r>
        <w:rPr>
          <w:rFonts w:hint="eastAsia"/>
          <w:sz w:val="24"/>
          <w:szCs w:val="24"/>
        </w:rPr>
        <w:t xml:space="preserve">　</w:t>
      </w:r>
      <w:r w:rsidRPr="006D0F97">
        <w:rPr>
          <w:rFonts w:asciiTheme="minorEastAsia" w:hAnsiTheme="minorEastAsia" w:hint="eastAsia"/>
          <w:sz w:val="24"/>
          <w:szCs w:val="24"/>
        </w:rPr>
        <w:t>⑴　地域の人口構造、産業構造及び中小企業者の実態等</w:t>
      </w:r>
    </w:p>
    <w:p w:rsidR="006D0F97" w:rsidRDefault="006D0F97" w:rsidP="006D0F97">
      <w:pPr>
        <w:rPr>
          <w:sz w:val="24"/>
          <w:szCs w:val="24"/>
        </w:rPr>
      </w:pPr>
      <w:r>
        <w:rPr>
          <w:rFonts w:hint="eastAsia"/>
          <w:sz w:val="24"/>
          <w:szCs w:val="24"/>
        </w:rPr>
        <w:t xml:space="preserve">　　①　えりも町の人口構造及び産業構造</w:t>
      </w:r>
    </w:p>
    <w:p w:rsidR="003E2EDC" w:rsidRDefault="006D0F97" w:rsidP="003E2EDC">
      <w:pPr>
        <w:autoSpaceDE w:val="0"/>
        <w:autoSpaceDN w:val="0"/>
        <w:ind w:leftChars="100" w:left="690" w:hangingChars="200" w:hanging="480"/>
        <w:rPr>
          <w:sz w:val="24"/>
          <w:szCs w:val="24"/>
        </w:rPr>
      </w:pPr>
      <w:r>
        <w:rPr>
          <w:rFonts w:hint="eastAsia"/>
          <w:sz w:val="24"/>
          <w:szCs w:val="24"/>
        </w:rPr>
        <w:t xml:space="preserve">　　　</w:t>
      </w:r>
      <w:r w:rsidR="003E2EDC">
        <w:rPr>
          <w:rFonts w:asciiTheme="minorEastAsia" w:hAnsiTheme="minorEastAsia" w:hint="eastAsia"/>
          <w:sz w:val="24"/>
        </w:rPr>
        <w:t>えりも</w:t>
      </w:r>
      <w:r w:rsidR="003E2EDC" w:rsidRPr="002D0FC6">
        <w:rPr>
          <w:rFonts w:asciiTheme="minorEastAsia" w:hAnsiTheme="minorEastAsia" w:hint="eastAsia"/>
          <w:sz w:val="24"/>
        </w:rPr>
        <w:t>町の総人口は、昭和</w:t>
      </w:r>
      <w:r w:rsidR="004660F9">
        <w:rPr>
          <w:rFonts w:asciiTheme="minorEastAsia" w:hAnsiTheme="minorEastAsia" w:hint="eastAsia"/>
          <w:sz w:val="24"/>
        </w:rPr>
        <w:t>30</w:t>
      </w:r>
      <w:r w:rsidR="003E2EDC" w:rsidRPr="002D0FC6">
        <w:rPr>
          <w:rFonts w:asciiTheme="minorEastAsia" w:hAnsiTheme="minorEastAsia" w:hint="eastAsia"/>
          <w:sz w:val="24"/>
        </w:rPr>
        <w:t>年</w:t>
      </w:r>
      <w:r w:rsidR="004660F9">
        <w:rPr>
          <w:rFonts w:asciiTheme="minorEastAsia" w:hAnsiTheme="minorEastAsia" w:hint="eastAsia"/>
          <w:sz w:val="24"/>
        </w:rPr>
        <w:t>（国勢調査）の</w:t>
      </w:r>
      <w:r w:rsidR="00FE6C53">
        <w:rPr>
          <w:rFonts w:asciiTheme="minorEastAsia" w:hAnsiTheme="minorEastAsia" w:hint="eastAsia"/>
          <w:sz w:val="24"/>
        </w:rPr>
        <w:t>9,267</w:t>
      </w:r>
      <w:r w:rsidR="004660F9">
        <w:rPr>
          <w:rFonts w:asciiTheme="minorEastAsia" w:hAnsiTheme="minorEastAsia" w:hint="eastAsia"/>
          <w:sz w:val="24"/>
        </w:rPr>
        <w:t>人をピークに</w:t>
      </w:r>
      <w:r w:rsidR="003E2EDC" w:rsidRPr="002D0FC6">
        <w:rPr>
          <w:rFonts w:asciiTheme="minorEastAsia" w:hAnsiTheme="minorEastAsia" w:hint="eastAsia"/>
          <w:sz w:val="24"/>
        </w:rPr>
        <w:t>９千人を超えていたが、その後減少を続け、平成</w:t>
      </w:r>
      <w:r w:rsidR="003E2EDC">
        <w:rPr>
          <w:rFonts w:asciiTheme="minorEastAsia" w:hAnsiTheme="minorEastAsia" w:hint="eastAsia"/>
          <w:sz w:val="24"/>
        </w:rPr>
        <w:t>30</w:t>
      </w:r>
      <w:r w:rsidR="003E2EDC" w:rsidRPr="002D0FC6">
        <w:rPr>
          <w:rFonts w:asciiTheme="minorEastAsia" w:hAnsiTheme="minorEastAsia" w:hint="eastAsia"/>
          <w:sz w:val="24"/>
        </w:rPr>
        <w:t>年</w:t>
      </w:r>
      <w:r w:rsidR="005049D7">
        <w:rPr>
          <w:rFonts w:asciiTheme="minorEastAsia" w:hAnsiTheme="minorEastAsia" w:hint="eastAsia"/>
          <w:sz w:val="24"/>
        </w:rPr>
        <w:t>５</w:t>
      </w:r>
      <w:r w:rsidR="003E2EDC" w:rsidRPr="002D0FC6">
        <w:rPr>
          <w:rFonts w:asciiTheme="minorEastAsia" w:hAnsiTheme="minorEastAsia" w:hint="eastAsia"/>
          <w:sz w:val="24"/>
        </w:rPr>
        <w:t>月現在で</w:t>
      </w:r>
      <w:r w:rsidR="005049D7">
        <w:rPr>
          <w:rFonts w:asciiTheme="minorEastAsia" w:hAnsiTheme="minorEastAsia" w:hint="eastAsia"/>
          <w:sz w:val="24"/>
        </w:rPr>
        <w:t>4,763</w:t>
      </w:r>
      <w:r w:rsidR="003E2EDC" w:rsidRPr="002D0FC6">
        <w:rPr>
          <w:rFonts w:asciiTheme="minorEastAsia" w:hAnsiTheme="minorEastAsia" w:hint="eastAsia"/>
          <w:sz w:val="24"/>
        </w:rPr>
        <w:t>人と５千人を割り込んで</w:t>
      </w:r>
      <w:r w:rsidR="008D338B">
        <w:rPr>
          <w:rFonts w:asciiTheme="minorEastAsia" w:hAnsiTheme="minorEastAsia" w:hint="eastAsia"/>
          <w:sz w:val="24"/>
        </w:rPr>
        <w:t>おり、</w:t>
      </w:r>
      <w:r w:rsidR="004660F9">
        <w:rPr>
          <w:rFonts w:asciiTheme="minorEastAsia" w:hAnsiTheme="minorEastAsia" w:hint="eastAsia"/>
          <w:sz w:val="24"/>
        </w:rPr>
        <w:t>この55年間で約４割</w:t>
      </w:r>
      <w:r w:rsidR="00FE6C53">
        <w:rPr>
          <w:rFonts w:asciiTheme="minorEastAsia" w:hAnsiTheme="minorEastAsia" w:hint="eastAsia"/>
          <w:sz w:val="24"/>
        </w:rPr>
        <w:t>も減少</w:t>
      </w:r>
      <w:r w:rsidR="004660F9">
        <w:rPr>
          <w:rFonts w:asciiTheme="minorEastAsia" w:hAnsiTheme="minorEastAsia" w:hint="eastAsia"/>
          <w:sz w:val="24"/>
        </w:rPr>
        <w:t>して</w:t>
      </w:r>
      <w:r w:rsidR="008D338B">
        <w:rPr>
          <w:rFonts w:asciiTheme="minorEastAsia" w:hAnsiTheme="minorEastAsia" w:hint="eastAsia"/>
          <w:sz w:val="24"/>
        </w:rPr>
        <w:t>いる</w:t>
      </w:r>
      <w:r w:rsidR="004660F9">
        <w:rPr>
          <w:rFonts w:asciiTheme="minorEastAsia" w:hAnsiTheme="minorEastAsia" w:hint="eastAsia"/>
          <w:sz w:val="24"/>
        </w:rPr>
        <w:t>。</w:t>
      </w:r>
      <w:r w:rsidR="003E2EDC" w:rsidRPr="002D0FC6">
        <w:rPr>
          <w:rFonts w:asciiTheme="minorEastAsia" w:hAnsiTheme="minorEastAsia" w:hint="eastAsia"/>
          <w:sz w:val="24"/>
        </w:rPr>
        <w:t>しかしながら、出生率に関しては、基幹産業である漁業が安定していること</w:t>
      </w:r>
      <w:r w:rsidR="003E2EDC">
        <w:rPr>
          <w:rFonts w:asciiTheme="minorEastAsia" w:hAnsiTheme="minorEastAsia" w:hint="eastAsia"/>
          <w:sz w:val="24"/>
        </w:rPr>
        <w:t>など</w:t>
      </w:r>
      <w:r w:rsidR="003E2EDC" w:rsidRPr="002D0FC6">
        <w:rPr>
          <w:rFonts w:asciiTheme="minorEastAsia" w:hAnsiTheme="minorEastAsia" w:hint="eastAsia"/>
          <w:sz w:val="24"/>
        </w:rPr>
        <w:t>から、1.90と全道１位となっている。</w:t>
      </w:r>
    </w:p>
    <w:p w:rsidR="003E2EDC" w:rsidRPr="002D0FC6" w:rsidRDefault="003E2EDC" w:rsidP="003E2EDC">
      <w:pPr>
        <w:autoSpaceDE w:val="0"/>
        <w:autoSpaceDN w:val="0"/>
        <w:ind w:leftChars="100" w:left="690" w:hangingChars="200" w:hanging="480"/>
        <w:rPr>
          <w:rFonts w:asciiTheme="minorEastAsia" w:hAnsiTheme="minorEastAsia"/>
          <w:sz w:val="24"/>
        </w:rPr>
      </w:pPr>
      <w:r w:rsidRPr="00BD6928">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2D0FC6">
        <w:rPr>
          <w:rFonts w:asciiTheme="minorEastAsia" w:hAnsiTheme="minorEastAsia" w:hint="eastAsia"/>
          <w:sz w:val="24"/>
        </w:rPr>
        <w:t>えりも町は、北海道の中央部最南端にあり、豊かな水産資源と雄大な</w:t>
      </w:r>
      <w:r>
        <w:rPr>
          <w:rFonts w:asciiTheme="minorEastAsia" w:hAnsiTheme="minorEastAsia" w:hint="eastAsia"/>
          <w:sz w:val="24"/>
        </w:rPr>
        <w:t xml:space="preserve">　</w:t>
      </w:r>
      <w:r w:rsidRPr="002D0FC6">
        <w:rPr>
          <w:rFonts w:asciiTheme="minorEastAsia" w:hAnsiTheme="minorEastAsia" w:hint="eastAsia"/>
          <w:sz w:val="24"/>
        </w:rPr>
        <w:t>自然景観に恵まれた漁業と観光の町である。西側は様似町に、東側は十勝管内広尾町に接し、北東部から南方の襟裳岬へ日高山脈が続いている。総面積は、283.93平方キロメートルで、海岸線の延長は、58.145キロメートルあまりである。</w:t>
      </w:r>
    </w:p>
    <w:p w:rsidR="003E2EDC" w:rsidRDefault="003E2EDC" w:rsidP="003E2EDC">
      <w:pPr>
        <w:autoSpaceDE w:val="0"/>
        <w:autoSpaceDN w:val="0"/>
        <w:ind w:left="720" w:hangingChars="300" w:hanging="720"/>
        <w:rPr>
          <w:rFonts w:asciiTheme="minorEastAsia" w:hAnsiTheme="minorEastAsia"/>
          <w:sz w:val="24"/>
        </w:rPr>
      </w:pPr>
      <w:r w:rsidRPr="002D0FC6">
        <w:rPr>
          <w:rFonts w:asciiTheme="minorEastAsia" w:hAnsiTheme="minorEastAsia" w:hint="eastAsia"/>
          <w:sz w:val="24"/>
        </w:rPr>
        <w:t xml:space="preserve">　</w:t>
      </w:r>
      <w:r>
        <w:rPr>
          <w:rFonts w:asciiTheme="minorEastAsia" w:hAnsiTheme="minorEastAsia" w:hint="eastAsia"/>
          <w:sz w:val="24"/>
        </w:rPr>
        <w:t xml:space="preserve">　　　</w:t>
      </w:r>
      <w:r w:rsidRPr="002D0FC6">
        <w:rPr>
          <w:rFonts w:asciiTheme="minorEastAsia" w:hAnsiTheme="minorEastAsia" w:hint="eastAsia"/>
          <w:sz w:val="24"/>
        </w:rPr>
        <w:t>えりも町の主要産業は漁業で、町全体の就業者の約半数が漁業関係であり、鮭・ますといった魚から昆布・うに・つぶなど</w:t>
      </w:r>
      <w:r>
        <w:rPr>
          <w:rFonts w:asciiTheme="minorEastAsia" w:hAnsiTheme="minorEastAsia" w:hint="eastAsia"/>
          <w:sz w:val="24"/>
        </w:rPr>
        <w:t>の海産物</w:t>
      </w:r>
      <w:r w:rsidRPr="002D0FC6">
        <w:rPr>
          <w:rFonts w:asciiTheme="minorEastAsia" w:hAnsiTheme="minorEastAsia" w:hint="eastAsia"/>
          <w:sz w:val="24"/>
        </w:rPr>
        <w:t>が豊富にあり、全道でもトップクラスの業績を残している。</w:t>
      </w:r>
      <w:r w:rsidR="00797C8B">
        <w:rPr>
          <w:rFonts w:asciiTheme="minorEastAsia" w:hAnsiTheme="minorEastAsia" w:hint="eastAsia"/>
          <w:sz w:val="24"/>
        </w:rPr>
        <w:t>このため、産業別就業者については、第１次産業（漁業）が50.05％と最も高い数値</w:t>
      </w:r>
      <w:r w:rsidR="004F5202">
        <w:rPr>
          <w:rFonts w:asciiTheme="minorEastAsia" w:hAnsiTheme="minorEastAsia" w:hint="eastAsia"/>
          <w:sz w:val="24"/>
        </w:rPr>
        <w:t>を示し、</w:t>
      </w:r>
      <w:r w:rsidR="00797C8B">
        <w:rPr>
          <w:rFonts w:asciiTheme="minorEastAsia" w:hAnsiTheme="minorEastAsia" w:hint="eastAsia"/>
          <w:sz w:val="24"/>
        </w:rPr>
        <w:t>次いで</w:t>
      </w:r>
      <w:r w:rsidR="00FE6C53" w:rsidRPr="00FE6C53">
        <w:rPr>
          <w:rFonts w:asciiTheme="minorEastAsia" w:hAnsiTheme="minorEastAsia" w:hint="eastAsia"/>
          <w:sz w:val="24"/>
        </w:rPr>
        <w:t>全国的にも有名な襟裳岬や近年ハート形の湖で知られる豊似湖（とよにこ）など多くの景勝地を有し、年間17万人以上の観光客が訪れることから、これらの</w:t>
      </w:r>
      <w:r w:rsidR="00797C8B" w:rsidRPr="002D0FC6">
        <w:rPr>
          <w:rFonts w:asciiTheme="minorEastAsia" w:hAnsiTheme="minorEastAsia" w:hint="eastAsia"/>
          <w:sz w:val="24"/>
        </w:rPr>
        <w:t>大自然を活かした観光業などの第３次産業</w:t>
      </w:r>
      <w:r w:rsidR="00797C8B">
        <w:rPr>
          <w:rFonts w:asciiTheme="minorEastAsia" w:hAnsiTheme="minorEastAsia" w:hint="eastAsia"/>
          <w:sz w:val="24"/>
        </w:rPr>
        <w:t>（サービス業）が39.13％、さらに</w:t>
      </w:r>
      <w:r w:rsidRPr="002D0FC6">
        <w:rPr>
          <w:rFonts w:asciiTheme="minorEastAsia" w:hAnsiTheme="minorEastAsia" w:hint="eastAsia"/>
          <w:sz w:val="24"/>
        </w:rPr>
        <w:t>水産加工品や食肉加工品などの第２次産業</w:t>
      </w:r>
      <w:r w:rsidR="00111E41">
        <w:rPr>
          <w:rFonts w:asciiTheme="minorEastAsia" w:hAnsiTheme="minorEastAsia" w:hint="eastAsia"/>
          <w:sz w:val="24"/>
        </w:rPr>
        <w:t>（</w:t>
      </w:r>
      <w:r w:rsidR="004F5202">
        <w:rPr>
          <w:rFonts w:asciiTheme="minorEastAsia" w:hAnsiTheme="minorEastAsia" w:hint="eastAsia"/>
          <w:sz w:val="24"/>
        </w:rPr>
        <w:t>産業）</w:t>
      </w:r>
      <w:r w:rsidRPr="002D0FC6">
        <w:rPr>
          <w:rFonts w:asciiTheme="minorEastAsia" w:hAnsiTheme="minorEastAsia" w:hint="eastAsia"/>
          <w:sz w:val="24"/>
        </w:rPr>
        <w:t>と多岐にわたる産業構造となっている。</w:t>
      </w:r>
    </w:p>
    <w:p w:rsidR="00FE6C53" w:rsidRDefault="00FE6C53" w:rsidP="003E2EDC">
      <w:pPr>
        <w:autoSpaceDE w:val="0"/>
        <w:autoSpaceDN w:val="0"/>
        <w:ind w:left="720" w:hangingChars="300" w:hanging="720"/>
        <w:rPr>
          <w:rFonts w:asciiTheme="minorEastAsia" w:hAnsiTheme="minorEastAsia"/>
          <w:sz w:val="24"/>
        </w:rPr>
      </w:pPr>
    </w:p>
    <w:p w:rsidR="00FE6C53" w:rsidRDefault="00FE6C53" w:rsidP="003E2EDC">
      <w:pPr>
        <w:autoSpaceDE w:val="0"/>
        <w:autoSpaceDN w:val="0"/>
        <w:ind w:left="720" w:hangingChars="300" w:hanging="720"/>
        <w:rPr>
          <w:rFonts w:asciiTheme="minorEastAsia" w:hAnsiTheme="minorEastAsia"/>
          <w:sz w:val="24"/>
        </w:rPr>
      </w:pPr>
    </w:p>
    <w:p w:rsidR="00FE6C53" w:rsidRDefault="00FE6C53" w:rsidP="003E2EDC">
      <w:pPr>
        <w:autoSpaceDE w:val="0"/>
        <w:autoSpaceDN w:val="0"/>
        <w:ind w:left="720" w:hangingChars="300" w:hanging="720"/>
        <w:rPr>
          <w:rFonts w:asciiTheme="minorEastAsia" w:hAnsiTheme="minorEastAsia"/>
          <w:sz w:val="24"/>
        </w:rPr>
      </w:pPr>
    </w:p>
    <w:p w:rsidR="004F5202" w:rsidRDefault="009E7108" w:rsidP="00E13356">
      <w:pPr>
        <w:autoSpaceDE w:val="0"/>
        <w:autoSpaceDN w:val="0"/>
        <w:ind w:left="720" w:hangingChars="300" w:hanging="720"/>
        <w:rPr>
          <w:rFonts w:asciiTheme="minorEastAsia" w:hAnsiTheme="minorEastAsia"/>
          <w:sz w:val="24"/>
        </w:rPr>
      </w:pPr>
      <w:r>
        <w:rPr>
          <w:rFonts w:asciiTheme="minorEastAsia" w:hAnsiTheme="minorEastAsia" w:hint="eastAsia"/>
          <w:sz w:val="24"/>
        </w:rPr>
        <w:t xml:space="preserve">　　　　</w:t>
      </w:r>
    </w:p>
    <w:p w:rsidR="009E7108" w:rsidRDefault="005B0C76" w:rsidP="00E13356">
      <w:pPr>
        <w:autoSpaceDE w:val="0"/>
        <w:autoSpaceDN w:val="0"/>
        <w:ind w:leftChars="126" w:left="687" w:hangingChars="176" w:hanging="422"/>
        <w:rPr>
          <w:rFonts w:asciiTheme="minorEastAsia" w:hAnsiTheme="minorEastAsia"/>
          <w:sz w:val="24"/>
        </w:rPr>
      </w:pPr>
      <w:r>
        <w:rPr>
          <w:rFonts w:asciiTheme="minorEastAsia" w:hAnsiTheme="minorEastAsia" w:hint="eastAsia"/>
          <w:sz w:val="24"/>
        </w:rPr>
        <w:lastRenderedPageBreak/>
        <w:t>○</w:t>
      </w:r>
      <w:r w:rsidR="009E7108">
        <w:rPr>
          <w:rFonts w:asciiTheme="minorEastAsia" w:hAnsiTheme="minorEastAsia" w:hint="eastAsia"/>
          <w:sz w:val="24"/>
        </w:rPr>
        <w:t>えりも町の産業別就業者数（平成27年国勢調査）</w:t>
      </w:r>
    </w:p>
    <w:tbl>
      <w:tblPr>
        <w:tblStyle w:val="a3"/>
        <w:tblpPr w:leftFromText="142" w:rightFromText="142" w:vertAnchor="text" w:tblpY="1"/>
        <w:tblOverlap w:val="never"/>
        <w:tblW w:w="0" w:type="auto"/>
        <w:tblInd w:w="392" w:type="dxa"/>
        <w:tblLook w:val="04A0" w:firstRow="1" w:lastRow="0" w:firstColumn="1" w:lastColumn="0" w:noHBand="0" w:noVBand="1"/>
      </w:tblPr>
      <w:tblGrid>
        <w:gridCol w:w="1842"/>
        <w:gridCol w:w="1985"/>
      </w:tblGrid>
      <w:tr w:rsidR="004F5202" w:rsidTr="004F5202">
        <w:trPr>
          <w:trHeight w:val="487"/>
        </w:trPr>
        <w:tc>
          <w:tcPr>
            <w:tcW w:w="1842" w:type="dxa"/>
            <w:vAlign w:val="center"/>
          </w:tcPr>
          <w:p w:rsidR="004F5202" w:rsidRDefault="005B0C76" w:rsidP="00797C8B">
            <w:pPr>
              <w:autoSpaceDE w:val="0"/>
              <w:autoSpaceDN w:val="0"/>
              <w:jc w:val="center"/>
              <w:rPr>
                <w:rFonts w:asciiTheme="minorEastAsia" w:hAnsiTheme="minorEastAsia"/>
                <w:sz w:val="24"/>
              </w:rPr>
            </w:pPr>
            <w:r>
              <w:rPr>
                <w:rFonts w:asciiTheme="minorEastAsia" w:hAnsiTheme="minorEastAsia" w:hint="eastAsia"/>
                <w:sz w:val="24"/>
              </w:rPr>
              <w:t>産業別</w:t>
            </w:r>
          </w:p>
        </w:tc>
        <w:tc>
          <w:tcPr>
            <w:tcW w:w="1985" w:type="dxa"/>
            <w:vAlign w:val="center"/>
          </w:tcPr>
          <w:p w:rsidR="004F5202" w:rsidRDefault="004F5202" w:rsidP="00797C8B">
            <w:pPr>
              <w:autoSpaceDE w:val="0"/>
              <w:autoSpaceDN w:val="0"/>
              <w:jc w:val="center"/>
              <w:rPr>
                <w:rFonts w:asciiTheme="minorEastAsia" w:hAnsiTheme="minorEastAsia"/>
                <w:sz w:val="24"/>
              </w:rPr>
            </w:pPr>
            <w:r>
              <w:rPr>
                <w:rFonts w:asciiTheme="minorEastAsia" w:hAnsiTheme="minorEastAsia" w:hint="eastAsia"/>
                <w:sz w:val="24"/>
              </w:rPr>
              <w:t>就業者数</w:t>
            </w:r>
          </w:p>
        </w:tc>
      </w:tr>
      <w:tr w:rsidR="004F5202" w:rsidTr="004F5202">
        <w:trPr>
          <w:trHeight w:val="487"/>
        </w:trPr>
        <w:tc>
          <w:tcPr>
            <w:tcW w:w="1842" w:type="dxa"/>
            <w:vAlign w:val="center"/>
          </w:tcPr>
          <w:p w:rsidR="004F5202" w:rsidRDefault="004F5202" w:rsidP="00797C8B">
            <w:pPr>
              <w:autoSpaceDE w:val="0"/>
              <w:autoSpaceDN w:val="0"/>
              <w:jc w:val="center"/>
              <w:rPr>
                <w:rFonts w:asciiTheme="minorEastAsia" w:hAnsiTheme="minorEastAsia"/>
                <w:sz w:val="24"/>
              </w:rPr>
            </w:pPr>
            <w:r>
              <w:rPr>
                <w:rFonts w:asciiTheme="minorEastAsia" w:hAnsiTheme="minorEastAsia" w:hint="eastAsia"/>
                <w:sz w:val="24"/>
              </w:rPr>
              <w:t>第１次産業</w:t>
            </w:r>
          </w:p>
        </w:tc>
        <w:tc>
          <w:tcPr>
            <w:tcW w:w="1985" w:type="dxa"/>
            <w:vAlign w:val="center"/>
          </w:tcPr>
          <w:p w:rsidR="004F5202" w:rsidRDefault="004F5202" w:rsidP="00797C8B">
            <w:pPr>
              <w:autoSpaceDE w:val="0"/>
              <w:autoSpaceDN w:val="0"/>
              <w:jc w:val="right"/>
              <w:rPr>
                <w:rFonts w:asciiTheme="minorEastAsia" w:hAnsiTheme="minorEastAsia"/>
                <w:sz w:val="24"/>
              </w:rPr>
            </w:pPr>
            <w:r>
              <w:rPr>
                <w:rFonts w:asciiTheme="minorEastAsia" w:hAnsiTheme="minorEastAsia" w:hint="eastAsia"/>
                <w:sz w:val="24"/>
              </w:rPr>
              <w:t>1,421人</w:t>
            </w:r>
          </w:p>
        </w:tc>
      </w:tr>
      <w:tr w:rsidR="004F5202" w:rsidTr="004F5202">
        <w:trPr>
          <w:trHeight w:val="487"/>
        </w:trPr>
        <w:tc>
          <w:tcPr>
            <w:tcW w:w="1842" w:type="dxa"/>
            <w:vAlign w:val="center"/>
          </w:tcPr>
          <w:p w:rsidR="004F5202" w:rsidRDefault="004F5202" w:rsidP="00797C8B">
            <w:pPr>
              <w:autoSpaceDE w:val="0"/>
              <w:autoSpaceDN w:val="0"/>
              <w:jc w:val="center"/>
              <w:rPr>
                <w:rFonts w:asciiTheme="minorEastAsia" w:hAnsiTheme="minorEastAsia"/>
                <w:sz w:val="24"/>
              </w:rPr>
            </w:pPr>
            <w:r>
              <w:rPr>
                <w:rFonts w:asciiTheme="minorEastAsia" w:hAnsiTheme="minorEastAsia" w:hint="eastAsia"/>
                <w:sz w:val="24"/>
              </w:rPr>
              <w:t>第２次産業</w:t>
            </w:r>
          </w:p>
        </w:tc>
        <w:tc>
          <w:tcPr>
            <w:tcW w:w="1985" w:type="dxa"/>
            <w:vAlign w:val="center"/>
          </w:tcPr>
          <w:p w:rsidR="004F5202" w:rsidRDefault="004F5202" w:rsidP="00797C8B">
            <w:pPr>
              <w:autoSpaceDE w:val="0"/>
              <w:autoSpaceDN w:val="0"/>
              <w:jc w:val="right"/>
              <w:rPr>
                <w:rFonts w:asciiTheme="minorEastAsia" w:hAnsiTheme="minorEastAsia"/>
                <w:sz w:val="24"/>
              </w:rPr>
            </w:pPr>
            <w:r>
              <w:rPr>
                <w:rFonts w:asciiTheme="minorEastAsia" w:hAnsiTheme="minorEastAsia" w:hint="eastAsia"/>
                <w:sz w:val="24"/>
              </w:rPr>
              <w:t>291人</w:t>
            </w:r>
          </w:p>
        </w:tc>
      </w:tr>
      <w:tr w:rsidR="004F5202" w:rsidTr="004F5202">
        <w:trPr>
          <w:trHeight w:val="487"/>
        </w:trPr>
        <w:tc>
          <w:tcPr>
            <w:tcW w:w="1842" w:type="dxa"/>
            <w:vAlign w:val="center"/>
          </w:tcPr>
          <w:p w:rsidR="004F5202" w:rsidRDefault="004F5202" w:rsidP="00797C8B">
            <w:pPr>
              <w:autoSpaceDE w:val="0"/>
              <w:autoSpaceDN w:val="0"/>
              <w:jc w:val="center"/>
              <w:rPr>
                <w:rFonts w:asciiTheme="minorEastAsia" w:hAnsiTheme="minorEastAsia"/>
                <w:sz w:val="24"/>
              </w:rPr>
            </w:pPr>
            <w:r>
              <w:rPr>
                <w:rFonts w:asciiTheme="minorEastAsia" w:hAnsiTheme="minorEastAsia" w:hint="eastAsia"/>
                <w:sz w:val="24"/>
              </w:rPr>
              <w:t>第３次産業</w:t>
            </w:r>
          </w:p>
        </w:tc>
        <w:tc>
          <w:tcPr>
            <w:tcW w:w="1985" w:type="dxa"/>
            <w:vAlign w:val="center"/>
          </w:tcPr>
          <w:p w:rsidR="004F5202" w:rsidRDefault="004F5202" w:rsidP="00797C8B">
            <w:pPr>
              <w:autoSpaceDE w:val="0"/>
              <w:autoSpaceDN w:val="0"/>
              <w:jc w:val="right"/>
              <w:rPr>
                <w:rFonts w:asciiTheme="minorEastAsia" w:hAnsiTheme="minorEastAsia"/>
                <w:sz w:val="24"/>
              </w:rPr>
            </w:pPr>
            <w:r>
              <w:rPr>
                <w:rFonts w:asciiTheme="minorEastAsia" w:hAnsiTheme="minorEastAsia" w:hint="eastAsia"/>
                <w:sz w:val="24"/>
              </w:rPr>
              <w:t>1,111人</w:t>
            </w:r>
          </w:p>
        </w:tc>
      </w:tr>
      <w:tr w:rsidR="004F5202" w:rsidTr="004F5202">
        <w:trPr>
          <w:trHeight w:val="487"/>
        </w:trPr>
        <w:tc>
          <w:tcPr>
            <w:tcW w:w="1842" w:type="dxa"/>
            <w:vAlign w:val="center"/>
          </w:tcPr>
          <w:p w:rsidR="004F5202" w:rsidRDefault="004F5202" w:rsidP="00797C8B">
            <w:pPr>
              <w:autoSpaceDE w:val="0"/>
              <w:autoSpaceDN w:val="0"/>
              <w:jc w:val="center"/>
              <w:rPr>
                <w:rFonts w:asciiTheme="minorEastAsia" w:hAnsiTheme="minorEastAsia"/>
                <w:sz w:val="24"/>
              </w:rPr>
            </w:pPr>
            <w:r>
              <w:rPr>
                <w:rFonts w:asciiTheme="minorEastAsia" w:hAnsiTheme="minorEastAsia" w:hint="eastAsia"/>
                <w:sz w:val="24"/>
              </w:rPr>
              <w:t>分類不能</w:t>
            </w:r>
          </w:p>
        </w:tc>
        <w:tc>
          <w:tcPr>
            <w:tcW w:w="1985" w:type="dxa"/>
            <w:vAlign w:val="center"/>
          </w:tcPr>
          <w:p w:rsidR="004F5202" w:rsidRDefault="004F5202" w:rsidP="00797C8B">
            <w:pPr>
              <w:autoSpaceDE w:val="0"/>
              <w:autoSpaceDN w:val="0"/>
              <w:jc w:val="right"/>
              <w:rPr>
                <w:rFonts w:asciiTheme="minorEastAsia" w:hAnsiTheme="minorEastAsia"/>
                <w:sz w:val="24"/>
              </w:rPr>
            </w:pPr>
            <w:r>
              <w:rPr>
                <w:rFonts w:asciiTheme="minorEastAsia" w:hAnsiTheme="minorEastAsia" w:hint="eastAsia"/>
                <w:sz w:val="24"/>
              </w:rPr>
              <w:t>16人</w:t>
            </w:r>
          </w:p>
        </w:tc>
      </w:tr>
      <w:tr w:rsidR="004F5202" w:rsidTr="004F5202">
        <w:trPr>
          <w:trHeight w:val="487"/>
        </w:trPr>
        <w:tc>
          <w:tcPr>
            <w:tcW w:w="1842" w:type="dxa"/>
            <w:vAlign w:val="center"/>
          </w:tcPr>
          <w:p w:rsidR="004F5202" w:rsidRDefault="004F5202" w:rsidP="00797C8B">
            <w:pPr>
              <w:autoSpaceDE w:val="0"/>
              <w:autoSpaceDN w:val="0"/>
              <w:jc w:val="center"/>
              <w:rPr>
                <w:rFonts w:asciiTheme="minorEastAsia" w:hAnsiTheme="minorEastAsia"/>
                <w:sz w:val="24"/>
              </w:rPr>
            </w:pPr>
            <w:r>
              <w:rPr>
                <w:rFonts w:asciiTheme="minorEastAsia" w:hAnsiTheme="minorEastAsia" w:hint="eastAsia"/>
                <w:sz w:val="24"/>
              </w:rPr>
              <w:t>合　計</w:t>
            </w:r>
          </w:p>
        </w:tc>
        <w:tc>
          <w:tcPr>
            <w:tcW w:w="1985" w:type="dxa"/>
            <w:vAlign w:val="center"/>
          </w:tcPr>
          <w:p w:rsidR="004F5202" w:rsidRDefault="004F5202" w:rsidP="00797C8B">
            <w:pPr>
              <w:autoSpaceDE w:val="0"/>
              <w:autoSpaceDN w:val="0"/>
              <w:jc w:val="right"/>
              <w:rPr>
                <w:rFonts w:asciiTheme="minorEastAsia" w:hAnsiTheme="minorEastAsia"/>
                <w:sz w:val="24"/>
              </w:rPr>
            </w:pPr>
            <w:r>
              <w:rPr>
                <w:rFonts w:asciiTheme="minorEastAsia" w:hAnsiTheme="minorEastAsia" w:hint="eastAsia"/>
                <w:sz w:val="24"/>
              </w:rPr>
              <w:t>2,839人</w:t>
            </w:r>
          </w:p>
        </w:tc>
      </w:tr>
    </w:tbl>
    <w:p w:rsidR="009E7108" w:rsidRDefault="004F5202" w:rsidP="000B6F72">
      <w:pPr>
        <w:autoSpaceDE w:val="0"/>
        <w:autoSpaceDN w:val="0"/>
        <w:ind w:left="720" w:hangingChars="300" w:hanging="720"/>
        <w:rPr>
          <w:rFonts w:asciiTheme="minorEastAsia" w:hAnsiTheme="minorEastAsia"/>
          <w:sz w:val="24"/>
        </w:rPr>
      </w:pPr>
      <w:r>
        <w:rPr>
          <w:rFonts w:asciiTheme="minorEastAsia" w:hAnsiTheme="minorEastAsia" w:hint="eastAsia"/>
          <w:noProof/>
          <w:sz w:val="24"/>
        </w:rPr>
        <w:drawing>
          <wp:anchor distT="0" distB="0" distL="114300" distR="114300" simplePos="0" relativeHeight="251658240" behindDoc="1" locked="0" layoutInCell="1" allowOverlap="1" wp14:anchorId="76E4C383" wp14:editId="412D60BE">
            <wp:simplePos x="0" y="0"/>
            <wp:positionH relativeFrom="column">
              <wp:posOffset>92710</wp:posOffset>
            </wp:positionH>
            <wp:positionV relativeFrom="paragraph">
              <wp:posOffset>13970</wp:posOffset>
            </wp:positionV>
            <wp:extent cx="2581275" cy="1857375"/>
            <wp:effectExtent l="0" t="0" r="9525" b="952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797C8B">
        <w:rPr>
          <w:rFonts w:asciiTheme="minorEastAsia" w:hAnsiTheme="minorEastAsia"/>
          <w:sz w:val="24"/>
        </w:rPr>
        <w:br w:type="textWrapping" w:clear="all"/>
      </w:r>
    </w:p>
    <w:p w:rsidR="00FE6C53" w:rsidRDefault="00FE6C53" w:rsidP="005B0C76">
      <w:pPr>
        <w:autoSpaceDE w:val="0"/>
        <w:autoSpaceDN w:val="0"/>
        <w:ind w:left="283" w:hangingChars="118" w:hanging="283"/>
        <w:rPr>
          <w:rFonts w:asciiTheme="minorEastAsia" w:hAnsiTheme="minorEastAsia"/>
          <w:sz w:val="24"/>
        </w:rPr>
      </w:pPr>
      <w:r>
        <w:rPr>
          <w:rFonts w:asciiTheme="minorEastAsia" w:hAnsiTheme="minorEastAsia" w:hint="eastAsia"/>
          <w:sz w:val="24"/>
        </w:rPr>
        <w:t xml:space="preserve">　　産業別の付加価値でみると、襟裳岬や豊似湖（とよにこ）</w:t>
      </w:r>
      <w:r w:rsidR="008D338B">
        <w:rPr>
          <w:rFonts w:asciiTheme="minorEastAsia" w:hAnsiTheme="minorEastAsia" w:hint="eastAsia"/>
          <w:sz w:val="24"/>
        </w:rPr>
        <w:t>など観光資源により</w:t>
      </w:r>
      <w:r>
        <w:rPr>
          <w:rFonts w:asciiTheme="minorEastAsia" w:hAnsiTheme="minorEastAsia" w:hint="eastAsia"/>
          <w:sz w:val="24"/>
        </w:rPr>
        <w:t>観光客が多いことから、第</w:t>
      </w:r>
      <w:r w:rsidR="00EA094F">
        <w:rPr>
          <w:rFonts w:asciiTheme="minorEastAsia" w:hAnsiTheme="minorEastAsia" w:hint="eastAsia"/>
          <w:sz w:val="24"/>
        </w:rPr>
        <w:t>３</w:t>
      </w:r>
      <w:r>
        <w:rPr>
          <w:rFonts w:asciiTheme="minorEastAsia" w:hAnsiTheme="minorEastAsia" w:hint="eastAsia"/>
          <w:sz w:val="24"/>
        </w:rPr>
        <w:t>次産業で約４割を占め</w:t>
      </w:r>
      <w:r w:rsidR="008D338B">
        <w:rPr>
          <w:rFonts w:asciiTheme="minorEastAsia" w:hAnsiTheme="minorEastAsia" w:hint="eastAsia"/>
          <w:sz w:val="24"/>
        </w:rPr>
        <w:t>てい</w:t>
      </w:r>
      <w:r>
        <w:rPr>
          <w:rFonts w:asciiTheme="minorEastAsia" w:hAnsiTheme="minorEastAsia" w:hint="eastAsia"/>
          <w:sz w:val="24"/>
        </w:rPr>
        <w:t>る。第１次産業の農林漁業</w:t>
      </w:r>
      <w:r w:rsidR="005B0C76">
        <w:rPr>
          <w:rFonts w:asciiTheme="minorEastAsia" w:hAnsiTheme="minorEastAsia" w:hint="eastAsia"/>
          <w:sz w:val="24"/>
        </w:rPr>
        <w:t>と第２次産業の卸売業・小売業で全体の３割を超える数値を示している。</w:t>
      </w:r>
    </w:p>
    <w:p w:rsidR="009E7108" w:rsidRDefault="00C55A33" w:rsidP="005B0C76">
      <w:pPr>
        <w:autoSpaceDE w:val="0"/>
        <w:autoSpaceDN w:val="0"/>
        <w:ind w:leftChars="140" w:left="659" w:hangingChars="152" w:hanging="365"/>
        <w:rPr>
          <w:rFonts w:asciiTheme="minorEastAsia" w:hAnsiTheme="minorEastAsia"/>
          <w:sz w:val="24"/>
        </w:rPr>
      </w:pPr>
      <w:r>
        <w:rPr>
          <w:rFonts w:asciiTheme="minorEastAsia" w:hAnsiTheme="minorEastAsia" w:hint="eastAsia"/>
          <w:noProof/>
          <w:sz w:val="24"/>
        </w:rPr>
        <w:drawing>
          <wp:anchor distT="0" distB="0" distL="114300" distR="114300" simplePos="0" relativeHeight="251659264" behindDoc="1" locked="0" layoutInCell="1" allowOverlap="1" wp14:anchorId="061DA5F0" wp14:editId="3A73967E">
            <wp:simplePos x="0" y="0"/>
            <wp:positionH relativeFrom="column">
              <wp:posOffset>2796540</wp:posOffset>
            </wp:positionH>
            <wp:positionV relativeFrom="paragraph">
              <wp:posOffset>264160</wp:posOffset>
            </wp:positionV>
            <wp:extent cx="2924175" cy="3133725"/>
            <wp:effectExtent l="0" t="0" r="9525" b="9525"/>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B0C76">
        <w:rPr>
          <w:rFonts w:asciiTheme="minorEastAsia" w:hAnsiTheme="minorEastAsia" w:hint="eastAsia"/>
          <w:sz w:val="24"/>
        </w:rPr>
        <w:t>○</w:t>
      </w:r>
      <w:r w:rsidR="009E7108">
        <w:rPr>
          <w:rFonts w:asciiTheme="minorEastAsia" w:hAnsiTheme="minorEastAsia" w:hint="eastAsia"/>
          <w:sz w:val="24"/>
        </w:rPr>
        <w:t>産業別付加価値額</w:t>
      </w:r>
    </w:p>
    <w:tbl>
      <w:tblPr>
        <w:tblStyle w:val="a3"/>
        <w:tblpPr w:leftFromText="142" w:rightFromText="142" w:vertAnchor="text" w:tblpY="1"/>
        <w:tblOverlap w:val="never"/>
        <w:tblW w:w="0" w:type="auto"/>
        <w:tblInd w:w="392" w:type="dxa"/>
        <w:tblLook w:val="04A0" w:firstRow="1" w:lastRow="0" w:firstColumn="1" w:lastColumn="0" w:noHBand="0" w:noVBand="1"/>
      </w:tblPr>
      <w:tblGrid>
        <w:gridCol w:w="1984"/>
        <w:gridCol w:w="1843"/>
      </w:tblGrid>
      <w:tr w:rsidR="00173D26" w:rsidTr="005B0C76">
        <w:tc>
          <w:tcPr>
            <w:tcW w:w="1984" w:type="dxa"/>
            <w:vAlign w:val="center"/>
          </w:tcPr>
          <w:p w:rsidR="00173D26" w:rsidRDefault="005B0C76" w:rsidP="005B0C76">
            <w:pPr>
              <w:autoSpaceDE w:val="0"/>
              <w:autoSpaceDN w:val="0"/>
              <w:jc w:val="center"/>
              <w:rPr>
                <w:rFonts w:asciiTheme="minorEastAsia" w:hAnsiTheme="minorEastAsia"/>
                <w:sz w:val="24"/>
              </w:rPr>
            </w:pPr>
            <w:r>
              <w:rPr>
                <w:rFonts w:asciiTheme="minorEastAsia" w:hAnsiTheme="minorEastAsia" w:hint="eastAsia"/>
                <w:sz w:val="24"/>
              </w:rPr>
              <w:t>産業別</w:t>
            </w:r>
          </w:p>
        </w:tc>
        <w:tc>
          <w:tcPr>
            <w:tcW w:w="1843" w:type="dxa"/>
          </w:tcPr>
          <w:p w:rsidR="00173D26" w:rsidRDefault="00173D26" w:rsidP="005B0C76">
            <w:pPr>
              <w:autoSpaceDE w:val="0"/>
              <w:autoSpaceDN w:val="0"/>
              <w:jc w:val="center"/>
              <w:rPr>
                <w:rFonts w:asciiTheme="minorEastAsia" w:hAnsiTheme="minorEastAsia"/>
                <w:sz w:val="24"/>
              </w:rPr>
            </w:pPr>
            <w:r>
              <w:rPr>
                <w:rFonts w:asciiTheme="minorEastAsia" w:hAnsiTheme="minorEastAsia" w:hint="eastAsia"/>
                <w:sz w:val="24"/>
              </w:rPr>
              <w:t>付加価値額</w:t>
            </w:r>
          </w:p>
          <w:p w:rsidR="00173D26" w:rsidRDefault="00173D26" w:rsidP="00173D26">
            <w:pPr>
              <w:autoSpaceDE w:val="0"/>
              <w:autoSpaceDN w:val="0"/>
              <w:rPr>
                <w:rFonts w:asciiTheme="minorEastAsia" w:hAnsiTheme="minorEastAsia"/>
                <w:sz w:val="24"/>
              </w:rPr>
            </w:pPr>
            <w:r w:rsidRPr="00E13356">
              <w:rPr>
                <w:rFonts w:asciiTheme="minorEastAsia" w:hAnsiTheme="minorEastAsia" w:hint="eastAsia"/>
                <w:sz w:val="20"/>
                <w:szCs w:val="20"/>
              </w:rPr>
              <w:t>（単位：百万円）</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農林漁業</w:t>
            </w:r>
          </w:p>
        </w:tc>
        <w:tc>
          <w:tcPr>
            <w:tcW w:w="1843" w:type="dxa"/>
          </w:tcPr>
          <w:p w:rsidR="00173D26" w:rsidRDefault="00173D26" w:rsidP="00173D26">
            <w:pPr>
              <w:autoSpaceDE w:val="0"/>
              <w:autoSpaceDN w:val="0"/>
              <w:jc w:val="right"/>
              <w:rPr>
                <w:rFonts w:asciiTheme="minorEastAsia" w:hAnsiTheme="minorEastAsia"/>
                <w:sz w:val="24"/>
              </w:rPr>
            </w:pPr>
            <w:r>
              <w:rPr>
                <w:rFonts w:asciiTheme="minorEastAsia" w:hAnsiTheme="minorEastAsia" w:hint="eastAsia"/>
                <w:sz w:val="24"/>
              </w:rPr>
              <w:t>1,177</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建設業</w:t>
            </w:r>
          </w:p>
        </w:tc>
        <w:tc>
          <w:tcPr>
            <w:tcW w:w="1843" w:type="dxa"/>
          </w:tcPr>
          <w:p w:rsidR="00173D26" w:rsidRDefault="00173D26" w:rsidP="00173D26">
            <w:pPr>
              <w:autoSpaceDE w:val="0"/>
              <w:autoSpaceDN w:val="0"/>
              <w:jc w:val="right"/>
              <w:rPr>
                <w:rFonts w:asciiTheme="minorEastAsia" w:hAnsiTheme="minorEastAsia"/>
                <w:sz w:val="24"/>
              </w:rPr>
            </w:pPr>
            <w:r>
              <w:rPr>
                <w:rFonts w:asciiTheme="minorEastAsia" w:hAnsiTheme="minorEastAsia" w:hint="eastAsia"/>
                <w:sz w:val="24"/>
              </w:rPr>
              <w:t>394</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製造業</w:t>
            </w:r>
          </w:p>
        </w:tc>
        <w:tc>
          <w:tcPr>
            <w:tcW w:w="1843" w:type="dxa"/>
          </w:tcPr>
          <w:p w:rsidR="00173D26" w:rsidRDefault="00173D26" w:rsidP="00173D26">
            <w:pPr>
              <w:autoSpaceDE w:val="0"/>
              <w:autoSpaceDN w:val="0"/>
              <w:jc w:val="right"/>
              <w:rPr>
                <w:rFonts w:asciiTheme="minorEastAsia" w:hAnsiTheme="minorEastAsia"/>
                <w:sz w:val="24"/>
              </w:rPr>
            </w:pPr>
            <w:r>
              <w:rPr>
                <w:rFonts w:asciiTheme="minorEastAsia" w:hAnsiTheme="minorEastAsia" w:hint="eastAsia"/>
                <w:sz w:val="24"/>
              </w:rPr>
              <w:t>497</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運輸業・郵便業</w:t>
            </w:r>
          </w:p>
        </w:tc>
        <w:tc>
          <w:tcPr>
            <w:tcW w:w="1843" w:type="dxa"/>
          </w:tcPr>
          <w:p w:rsidR="00173D26" w:rsidRDefault="00173D26" w:rsidP="00173D26">
            <w:pPr>
              <w:autoSpaceDE w:val="0"/>
              <w:autoSpaceDN w:val="0"/>
              <w:jc w:val="right"/>
              <w:rPr>
                <w:rFonts w:asciiTheme="minorEastAsia" w:hAnsiTheme="minorEastAsia"/>
                <w:sz w:val="24"/>
              </w:rPr>
            </w:pPr>
            <w:r>
              <w:rPr>
                <w:rFonts w:asciiTheme="minorEastAsia" w:hAnsiTheme="minorEastAsia" w:hint="eastAsia"/>
                <w:sz w:val="24"/>
              </w:rPr>
              <w:t>171</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卸売業・小売業</w:t>
            </w:r>
          </w:p>
        </w:tc>
        <w:tc>
          <w:tcPr>
            <w:tcW w:w="1843" w:type="dxa"/>
          </w:tcPr>
          <w:p w:rsidR="00173D26" w:rsidRDefault="00173D26" w:rsidP="00173D26">
            <w:pPr>
              <w:autoSpaceDE w:val="0"/>
              <w:autoSpaceDN w:val="0"/>
              <w:jc w:val="right"/>
              <w:rPr>
                <w:rFonts w:asciiTheme="minorEastAsia" w:hAnsiTheme="minorEastAsia"/>
                <w:sz w:val="24"/>
              </w:rPr>
            </w:pPr>
            <w:r>
              <w:rPr>
                <w:rFonts w:asciiTheme="minorEastAsia" w:hAnsiTheme="minorEastAsia" w:hint="eastAsia"/>
                <w:sz w:val="24"/>
              </w:rPr>
              <w:t>1,078</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宿泊業・飲食サービス業</w:t>
            </w:r>
          </w:p>
        </w:tc>
        <w:tc>
          <w:tcPr>
            <w:tcW w:w="1843" w:type="dxa"/>
          </w:tcPr>
          <w:p w:rsidR="00173D26" w:rsidRDefault="00173D26" w:rsidP="00173D26">
            <w:pPr>
              <w:autoSpaceDE w:val="0"/>
              <w:autoSpaceDN w:val="0"/>
              <w:jc w:val="right"/>
              <w:rPr>
                <w:rFonts w:asciiTheme="minorEastAsia" w:hAnsiTheme="minorEastAsia"/>
                <w:sz w:val="24"/>
              </w:rPr>
            </w:pPr>
            <w:r>
              <w:rPr>
                <w:rFonts w:asciiTheme="minorEastAsia" w:hAnsiTheme="minorEastAsia" w:hint="eastAsia"/>
                <w:sz w:val="24"/>
              </w:rPr>
              <w:t>2,618</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医療・福祉</w:t>
            </w:r>
          </w:p>
        </w:tc>
        <w:tc>
          <w:tcPr>
            <w:tcW w:w="1843" w:type="dxa"/>
          </w:tcPr>
          <w:p w:rsidR="00173D26" w:rsidRDefault="00173D26" w:rsidP="00173D26">
            <w:pPr>
              <w:autoSpaceDE w:val="0"/>
              <w:autoSpaceDN w:val="0"/>
              <w:jc w:val="right"/>
              <w:rPr>
                <w:rFonts w:asciiTheme="minorEastAsia" w:hAnsiTheme="minorEastAsia"/>
                <w:sz w:val="24"/>
              </w:rPr>
            </w:pPr>
            <w:r>
              <w:rPr>
                <w:rFonts w:asciiTheme="minorEastAsia" w:hAnsiTheme="minorEastAsia" w:hint="eastAsia"/>
                <w:sz w:val="24"/>
              </w:rPr>
              <w:t>207</w:t>
            </w:r>
          </w:p>
        </w:tc>
      </w:tr>
      <w:tr w:rsidR="00173D26" w:rsidTr="003A2479">
        <w:tc>
          <w:tcPr>
            <w:tcW w:w="1984" w:type="dxa"/>
          </w:tcPr>
          <w:p w:rsidR="00173D26" w:rsidRDefault="00173D26" w:rsidP="00173D26">
            <w:pPr>
              <w:autoSpaceDE w:val="0"/>
              <w:autoSpaceDN w:val="0"/>
              <w:rPr>
                <w:rFonts w:asciiTheme="minorEastAsia" w:hAnsiTheme="minorEastAsia"/>
                <w:sz w:val="24"/>
              </w:rPr>
            </w:pPr>
            <w:r>
              <w:rPr>
                <w:rFonts w:asciiTheme="minorEastAsia" w:hAnsiTheme="minorEastAsia" w:hint="eastAsia"/>
                <w:sz w:val="24"/>
              </w:rPr>
              <w:t>その他</w:t>
            </w:r>
          </w:p>
        </w:tc>
        <w:tc>
          <w:tcPr>
            <w:tcW w:w="1843" w:type="dxa"/>
          </w:tcPr>
          <w:p w:rsidR="00173D26" w:rsidRDefault="00A66189" w:rsidP="00173D26">
            <w:pPr>
              <w:autoSpaceDE w:val="0"/>
              <w:autoSpaceDN w:val="0"/>
              <w:jc w:val="right"/>
              <w:rPr>
                <w:rFonts w:asciiTheme="minorEastAsia" w:hAnsiTheme="minorEastAsia"/>
                <w:sz w:val="24"/>
              </w:rPr>
            </w:pPr>
            <w:r>
              <w:rPr>
                <w:rFonts w:asciiTheme="minorEastAsia" w:hAnsiTheme="minorEastAsia" w:hint="eastAsia"/>
                <w:sz w:val="24"/>
              </w:rPr>
              <w:t>694</w:t>
            </w:r>
          </w:p>
        </w:tc>
      </w:tr>
    </w:tbl>
    <w:p w:rsidR="00E13356" w:rsidRPr="00797C8B" w:rsidRDefault="00173D26" w:rsidP="008D338B">
      <w:pPr>
        <w:autoSpaceDE w:val="0"/>
        <w:autoSpaceDN w:val="0"/>
        <w:ind w:left="566" w:hangingChars="236" w:hanging="566"/>
        <w:rPr>
          <w:rFonts w:asciiTheme="minorEastAsia" w:hAnsiTheme="minorEastAsia"/>
          <w:szCs w:val="21"/>
        </w:rPr>
      </w:pPr>
      <w:r>
        <w:rPr>
          <w:rFonts w:asciiTheme="minorEastAsia" w:hAnsiTheme="minorEastAsia"/>
          <w:sz w:val="24"/>
        </w:rPr>
        <w:br w:type="textWrapping" w:clear="all"/>
      </w:r>
      <w:r w:rsidR="00E13356" w:rsidRPr="00797C8B">
        <w:rPr>
          <w:rFonts w:asciiTheme="minorEastAsia" w:hAnsiTheme="minorEastAsia" w:hint="eastAsia"/>
          <w:szCs w:val="21"/>
        </w:rPr>
        <w:t xml:space="preserve">※経済センサスにおける付加価値とは、企業等の活動によって新たに生み出された価値のこと。　</w:t>
      </w:r>
      <w:r w:rsidR="00E13356" w:rsidRPr="008D338B">
        <w:rPr>
          <w:rFonts w:asciiTheme="majorEastAsia" w:eastAsiaTheme="majorEastAsia" w:hAnsiTheme="majorEastAsia" w:hint="eastAsia"/>
          <w:szCs w:val="21"/>
        </w:rPr>
        <w:t>付加価値額</w:t>
      </w:r>
      <w:r w:rsidR="00E13356" w:rsidRPr="00797C8B">
        <w:rPr>
          <w:rFonts w:asciiTheme="minorEastAsia" w:hAnsiTheme="minorEastAsia" w:hint="eastAsia"/>
          <w:szCs w:val="21"/>
        </w:rPr>
        <w:t>＝売上高</w:t>
      </w:r>
      <w:r w:rsidR="008D338B">
        <w:rPr>
          <w:rFonts w:asciiTheme="minorEastAsia" w:hAnsiTheme="minorEastAsia" w:hint="eastAsia"/>
          <w:szCs w:val="21"/>
        </w:rPr>
        <w:t>－</w:t>
      </w:r>
      <w:r w:rsidR="00E13356" w:rsidRPr="00797C8B">
        <w:rPr>
          <w:rFonts w:asciiTheme="minorEastAsia" w:hAnsiTheme="minorEastAsia" w:hint="eastAsia"/>
          <w:szCs w:val="21"/>
        </w:rPr>
        <w:t>費用総額＋給与総額＋租税公課</w:t>
      </w:r>
    </w:p>
    <w:p w:rsidR="00797C8B" w:rsidRDefault="00E13356" w:rsidP="003E2EDC">
      <w:pPr>
        <w:autoSpaceDE w:val="0"/>
        <w:autoSpaceDN w:val="0"/>
        <w:ind w:left="720" w:hangingChars="300" w:hanging="720"/>
        <w:rPr>
          <w:rFonts w:asciiTheme="minorEastAsia" w:hAnsiTheme="minorEastAsia"/>
          <w:sz w:val="24"/>
        </w:rPr>
      </w:pPr>
      <w:r>
        <w:rPr>
          <w:rFonts w:asciiTheme="minorEastAsia" w:hAnsiTheme="minorEastAsia" w:hint="eastAsia"/>
          <w:sz w:val="24"/>
        </w:rPr>
        <w:t xml:space="preserve">　</w:t>
      </w:r>
    </w:p>
    <w:p w:rsidR="00E13356" w:rsidRDefault="00E13356" w:rsidP="00797C8B">
      <w:pPr>
        <w:autoSpaceDE w:val="0"/>
        <w:autoSpaceDN w:val="0"/>
        <w:ind w:leftChars="100" w:left="690" w:hangingChars="200" w:hanging="480"/>
        <w:rPr>
          <w:rFonts w:asciiTheme="minorEastAsia" w:hAnsiTheme="minorEastAsia"/>
          <w:sz w:val="24"/>
        </w:rPr>
      </w:pPr>
      <w:r>
        <w:rPr>
          <w:rFonts w:asciiTheme="minorEastAsia" w:hAnsiTheme="minorEastAsia" w:hint="eastAsia"/>
          <w:sz w:val="24"/>
        </w:rPr>
        <w:t xml:space="preserve">　②事業所数の減少と高齢化</w:t>
      </w:r>
    </w:p>
    <w:p w:rsidR="00E13356" w:rsidRPr="002D0FC6" w:rsidRDefault="00E13356" w:rsidP="00D40123">
      <w:pPr>
        <w:autoSpaceDE w:val="0"/>
        <w:autoSpaceDN w:val="0"/>
        <w:ind w:left="425" w:hangingChars="177" w:hanging="425"/>
        <w:rPr>
          <w:rFonts w:asciiTheme="minorEastAsia" w:hAnsiTheme="minorEastAsia"/>
          <w:sz w:val="24"/>
        </w:rPr>
      </w:pPr>
      <w:r>
        <w:rPr>
          <w:rFonts w:asciiTheme="minorEastAsia" w:hAnsiTheme="minorEastAsia" w:hint="eastAsia"/>
          <w:sz w:val="24"/>
        </w:rPr>
        <w:t xml:space="preserve">　　</w:t>
      </w:r>
      <w:r w:rsidR="00D40123">
        <w:rPr>
          <w:rFonts w:asciiTheme="minorEastAsia" w:hAnsiTheme="minorEastAsia" w:hint="eastAsia"/>
          <w:sz w:val="24"/>
        </w:rPr>
        <w:t xml:space="preserve">　</w:t>
      </w:r>
      <w:r w:rsidR="00111E41">
        <w:rPr>
          <w:rFonts w:asciiTheme="minorEastAsia" w:hAnsiTheme="minorEastAsia" w:hint="eastAsia"/>
          <w:sz w:val="24"/>
        </w:rPr>
        <w:t>えりも</w:t>
      </w:r>
      <w:r w:rsidR="00BB2441">
        <w:rPr>
          <w:rFonts w:asciiTheme="minorEastAsia" w:hAnsiTheme="minorEastAsia" w:hint="eastAsia"/>
          <w:sz w:val="24"/>
        </w:rPr>
        <w:t>町内の商工業者数は、</w:t>
      </w:r>
      <w:r w:rsidR="008D338B">
        <w:rPr>
          <w:rFonts w:asciiTheme="minorEastAsia" w:hAnsiTheme="minorEastAsia" w:hint="eastAsia"/>
          <w:sz w:val="24"/>
        </w:rPr>
        <w:t>176</w:t>
      </w:r>
      <w:r w:rsidR="00BB2441">
        <w:rPr>
          <w:rFonts w:asciiTheme="minorEastAsia" w:hAnsiTheme="minorEastAsia" w:hint="eastAsia"/>
          <w:sz w:val="24"/>
        </w:rPr>
        <w:t>件（個人事業者を含む。平成</w:t>
      </w:r>
      <w:r w:rsidR="008D338B">
        <w:rPr>
          <w:rFonts w:asciiTheme="minorEastAsia" w:hAnsiTheme="minorEastAsia" w:hint="eastAsia"/>
          <w:sz w:val="24"/>
        </w:rPr>
        <w:t>29</w:t>
      </w:r>
      <w:r w:rsidR="00BB2441">
        <w:rPr>
          <w:rFonts w:asciiTheme="minorEastAsia" w:hAnsiTheme="minorEastAsia" w:hint="eastAsia"/>
          <w:sz w:val="24"/>
        </w:rPr>
        <w:t>年商工会</w:t>
      </w:r>
      <w:r w:rsidR="00BB2441">
        <w:rPr>
          <w:rFonts w:asciiTheme="minorEastAsia" w:hAnsiTheme="minorEastAsia" w:hint="eastAsia"/>
          <w:sz w:val="24"/>
        </w:rPr>
        <w:lastRenderedPageBreak/>
        <w:t>調）でそのほとんどが中小の事業者であり、平成</w:t>
      </w:r>
      <w:r w:rsidR="008D338B">
        <w:rPr>
          <w:rFonts w:asciiTheme="minorEastAsia" w:hAnsiTheme="minorEastAsia" w:hint="eastAsia"/>
          <w:sz w:val="24"/>
        </w:rPr>
        <w:t>19</w:t>
      </w:r>
      <w:r w:rsidR="00BB2441">
        <w:rPr>
          <w:rFonts w:asciiTheme="minorEastAsia" w:hAnsiTheme="minorEastAsia" w:hint="eastAsia"/>
          <w:sz w:val="24"/>
        </w:rPr>
        <w:t>年と比較して</w:t>
      </w:r>
      <w:r w:rsidR="00111E41">
        <w:rPr>
          <w:rFonts w:asciiTheme="minorEastAsia" w:hAnsiTheme="minorEastAsia" w:hint="eastAsia"/>
          <w:sz w:val="24"/>
        </w:rPr>
        <w:t>件数にして</w:t>
      </w:r>
      <w:r w:rsidR="00797C8B">
        <w:rPr>
          <w:rFonts w:asciiTheme="minorEastAsia" w:hAnsiTheme="minorEastAsia" w:hint="eastAsia"/>
          <w:sz w:val="24"/>
        </w:rPr>
        <w:t>2</w:t>
      </w:r>
      <w:r w:rsidR="008D338B">
        <w:rPr>
          <w:rFonts w:asciiTheme="minorEastAsia" w:hAnsiTheme="minorEastAsia" w:hint="eastAsia"/>
          <w:sz w:val="24"/>
        </w:rPr>
        <w:t>4</w:t>
      </w:r>
      <w:r w:rsidR="00BB2441">
        <w:rPr>
          <w:rFonts w:asciiTheme="minorEastAsia" w:hAnsiTheme="minorEastAsia" w:hint="eastAsia"/>
          <w:sz w:val="24"/>
        </w:rPr>
        <w:t>件、</w:t>
      </w:r>
      <w:r w:rsidR="00111E41">
        <w:rPr>
          <w:rFonts w:asciiTheme="minorEastAsia" w:hAnsiTheme="minorEastAsia" w:hint="eastAsia"/>
          <w:sz w:val="24"/>
        </w:rPr>
        <w:t>割合にして</w:t>
      </w:r>
      <w:r w:rsidR="008171CC">
        <w:rPr>
          <w:rFonts w:asciiTheme="minorEastAsia" w:hAnsiTheme="minorEastAsia" w:hint="eastAsia"/>
          <w:sz w:val="24"/>
        </w:rPr>
        <w:t>1</w:t>
      </w:r>
      <w:r w:rsidR="008D338B">
        <w:rPr>
          <w:rFonts w:asciiTheme="minorEastAsia" w:hAnsiTheme="minorEastAsia" w:hint="eastAsia"/>
          <w:sz w:val="24"/>
        </w:rPr>
        <w:t>2</w:t>
      </w:r>
      <w:r w:rsidR="008171CC">
        <w:rPr>
          <w:rFonts w:asciiTheme="minorEastAsia" w:hAnsiTheme="minorEastAsia" w:hint="eastAsia"/>
          <w:sz w:val="24"/>
        </w:rPr>
        <w:t>％減少している。</w:t>
      </w:r>
    </w:p>
    <w:p w:rsidR="008171CC" w:rsidRPr="008171CC" w:rsidRDefault="007457D7" w:rsidP="008171CC">
      <w:pPr>
        <w:autoSpaceDE w:val="0"/>
        <w:autoSpaceDN w:val="0"/>
        <w:ind w:left="480" w:hangingChars="200" w:hanging="480"/>
        <w:rPr>
          <w:rFonts w:asciiTheme="minorEastAsia" w:hAnsiTheme="minorEastAsia"/>
          <w:sz w:val="24"/>
          <w:szCs w:val="24"/>
        </w:rPr>
      </w:pPr>
      <w:r>
        <w:rPr>
          <w:rFonts w:hint="eastAsia"/>
          <w:sz w:val="24"/>
          <w:szCs w:val="24"/>
        </w:rPr>
        <w:t xml:space="preserve">　</w:t>
      </w:r>
      <w:r w:rsidR="008171CC">
        <w:rPr>
          <w:rFonts w:hint="eastAsia"/>
          <w:sz w:val="24"/>
          <w:szCs w:val="24"/>
        </w:rPr>
        <w:t xml:space="preserve">　　</w:t>
      </w:r>
      <w:r w:rsidR="008D338B">
        <w:rPr>
          <w:rFonts w:asciiTheme="minorEastAsia" w:hAnsiTheme="minorEastAsia" w:hint="eastAsia"/>
          <w:sz w:val="24"/>
          <w:szCs w:val="24"/>
        </w:rPr>
        <w:t>併せて</w:t>
      </w:r>
      <w:r w:rsidR="008171CC" w:rsidRPr="008171CC">
        <w:rPr>
          <w:rFonts w:asciiTheme="minorEastAsia" w:hAnsiTheme="minorEastAsia" w:hint="eastAsia"/>
          <w:sz w:val="24"/>
          <w:szCs w:val="24"/>
        </w:rPr>
        <w:t>、事業所数の減少とともに経営に携わる者の高齢化が進んでおり、平成17年の平均57.7歳に対して、平成27年は60.4歳となっており（各年国勢調査　管理的職業従事者数）、今後、数年内に多くの経営者が引退年齢を迎えることが見込まれる。</w:t>
      </w:r>
    </w:p>
    <w:p w:rsidR="008171CC" w:rsidRDefault="008171CC" w:rsidP="006D0F97">
      <w:pPr>
        <w:rPr>
          <w:sz w:val="24"/>
          <w:szCs w:val="24"/>
        </w:rPr>
      </w:pPr>
      <w:r>
        <w:rPr>
          <w:rFonts w:asciiTheme="minorEastAsia" w:hAnsiTheme="minorEastAsia" w:hint="eastAsia"/>
          <w:noProof/>
          <w:sz w:val="24"/>
        </w:rPr>
        <w:drawing>
          <wp:inline distT="0" distB="0" distL="0" distR="0" wp14:anchorId="1BAEA1C7" wp14:editId="15811F9E">
            <wp:extent cx="5448300" cy="278130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71CC" w:rsidRDefault="008171CC" w:rsidP="00111E41">
      <w:pPr>
        <w:spacing w:line="240" w:lineRule="exact"/>
        <w:rPr>
          <w:sz w:val="24"/>
          <w:szCs w:val="24"/>
        </w:rPr>
      </w:pPr>
    </w:p>
    <w:p w:rsidR="006D0F97" w:rsidRDefault="007457D7" w:rsidP="004F5202">
      <w:pPr>
        <w:ind w:firstLineChars="100" w:firstLine="240"/>
        <w:rPr>
          <w:sz w:val="24"/>
          <w:szCs w:val="24"/>
        </w:rPr>
      </w:pPr>
      <w:r>
        <w:rPr>
          <w:rFonts w:asciiTheme="minorEastAsia" w:hAnsiTheme="minorEastAsia" w:hint="eastAsia"/>
          <w:sz w:val="24"/>
          <w:szCs w:val="24"/>
        </w:rPr>
        <w:t>⑵</w:t>
      </w:r>
      <w:r>
        <w:rPr>
          <w:rFonts w:hint="eastAsia"/>
          <w:sz w:val="24"/>
          <w:szCs w:val="24"/>
        </w:rPr>
        <w:t xml:space="preserve">　目標</w:t>
      </w:r>
    </w:p>
    <w:p w:rsidR="00515F95" w:rsidRDefault="00515F95" w:rsidP="004660F9">
      <w:pPr>
        <w:ind w:left="480" w:hangingChars="200" w:hanging="480"/>
        <w:rPr>
          <w:sz w:val="24"/>
          <w:szCs w:val="24"/>
        </w:rPr>
      </w:pPr>
      <w:r>
        <w:rPr>
          <w:rFonts w:hint="eastAsia"/>
          <w:sz w:val="24"/>
          <w:szCs w:val="24"/>
        </w:rPr>
        <w:t xml:space="preserve">　　　えりも町内の中小企業において就業者の減少や高齢化が課題となっている中で、各産業の付加価値を高めるためには労働生産性の向上が重要とな</w:t>
      </w:r>
      <w:r w:rsidR="00111E41">
        <w:rPr>
          <w:rFonts w:hint="eastAsia"/>
          <w:sz w:val="24"/>
          <w:szCs w:val="24"/>
        </w:rPr>
        <w:t>ってい</w:t>
      </w:r>
      <w:r>
        <w:rPr>
          <w:rFonts w:hint="eastAsia"/>
          <w:sz w:val="24"/>
          <w:szCs w:val="24"/>
        </w:rPr>
        <w:t>る。このため、税</w:t>
      </w:r>
      <w:r w:rsidR="00111E41">
        <w:rPr>
          <w:rFonts w:hint="eastAsia"/>
          <w:sz w:val="24"/>
          <w:szCs w:val="24"/>
        </w:rPr>
        <w:t>制の優遇措置等により事業者の設備投資に対する意欲を喚起し、かつ</w:t>
      </w:r>
      <w:r>
        <w:rPr>
          <w:rFonts w:hint="eastAsia"/>
          <w:sz w:val="24"/>
          <w:szCs w:val="24"/>
        </w:rPr>
        <w:t>支援していくことが必要である。</w:t>
      </w:r>
    </w:p>
    <w:p w:rsidR="00515F95" w:rsidRPr="005B0C76" w:rsidRDefault="008D338B" w:rsidP="005B0C76">
      <w:pPr>
        <w:autoSpaceDE w:val="0"/>
        <w:autoSpaceDN w:val="0"/>
        <w:ind w:leftChars="200" w:left="420" w:firstLineChars="100" w:firstLine="240"/>
        <w:rPr>
          <w:rFonts w:asciiTheme="minorEastAsia" w:hAnsiTheme="minorEastAsia"/>
          <w:sz w:val="24"/>
          <w:szCs w:val="24"/>
        </w:rPr>
      </w:pPr>
      <w:r>
        <w:rPr>
          <w:rFonts w:asciiTheme="minorEastAsia" w:hAnsiTheme="minorEastAsia" w:hint="eastAsia"/>
          <w:sz w:val="24"/>
          <w:szCs w:val="24"/>
        </w:rPr>
        <w:t>このため、</w:t>
      </w:r>
      <w:r w:rsidR="00515F95" w:rsidRPr="005B0C76">
        <w:rPr>
          <w:rFonts w:asciiTheme="minorEastAsia" w:hAnsiTheme="minorEastAsia" w:hint="eastAsia"/>
          <w:sz w:val="24"/>
          <w:szCs w:val="24"/>
        </w:rPr>
        <w:t>えりも町では、生産性向上特別措置法第37条第１項の規定に基づく導入促進基本計画を策定し、中小企業者の先端設備等の導入を即すことで、地域の経済のさらなる発展を目指すものである。</w:t>
      </w:r>
    </w:p>
    <w:p w:rsidR="00515F95" w:rsidRDefault="00515F95" w:rsidP="004660F9">
      <w:pPr>
        <w:ind w:left="480" w:hangingChars="200" w:hanging="480"/>
        <w:rPr>
          <w:sz w:val="24"/>
          <w:szCs w:val="24"/>
        </w:rPr>
      </w:pPr>
      <w:r>
        <w:rPr>
          <w:rFonts w:hint="eastAsia"/>
          <w:sz w:val="24"/>
          <w:szCs w:val="24"/>
        </w:rPr>
        <w:t xml:space="preserve">　</w:t>
      </w:r>
      <w:r w:rsidR="004660F9">
        <w:rPr>
          <w:rFonts w:hint="eastAsia"/>
          <w:sz w:val="24"/>
          <w:szCs w:val="24"/>
        </w:rPr>
        <w:t xml:space="preserve">　　</w:t>
      </w:r>
      <w:r w:rsidR="00EA094F">
        <w:rPr>
          <w:rFonts w:hint="eastAsia"/>
          <w:sz w:val="24"/>
          <w:szCs w:val="24"/>
        </w:rPr>
        <w:t>これを実現するため、目標として計画期間中に</w:t>
      </w:r>
      <w:r>
        <w:rPr>
          <w:rFonts w:hint="eastAsia"/>
          <w:sz w:val="24"/>
          <w:szCs w:val="24"/>
        </w:rPr>
        <w:t>３件</w:t>
      </w:r>
      <w:r w:rsidR="004660F9">
        <w:rPr>
          <w:rFonts w:hint="eastAsia"/>
          <w:sz w:val="24"/>
          <w:szCs w:val="24"/>
        </w:rPr>
        <w:t>程度の先端設備等導入計画の認定を目標とする。</w:t>
      </w:r>
    </w:p>
    <w:p w:rsidR="00111E41" w:rsidRDefault="00111E41" w:rsidP="006D0F97">
      <w:pPr>
        <w:rPr>
          <w:sz w:val="24"/>
          <w:szCs w:val="24"/>
        </w:rPr>
      </w:pPr>
    </w:p>
    <w:p w:rsidR="00EA094F" w:rsidRDefault="00EA094F" w:rsidP="006D0F97">
      <w:pPr>
        <w:rPr>
          <w:sz w:val="24"/>
          <w:szCs w:val="24"/>
        </w:rPr>
      </w:pPr>
    </w:p>
    <w:p w:rsidR="007457D7" w:rsidRDefault="007457D7" w:rsidP="006D0F97">
      <w:pPr>
        <w:rPr>
          <w:sz w:val="24"/>
          <w:szCs w:val="24"/>
        </w:rPr>
      </w:pPr>
      <w:r>
        <w:rPr>
          <w:rFonts w:hint="eastAsia"/>
          <w:sz w:val="24"/>
          <w:szCs w:val="24"/>
        </w:rPr>
        <w:lastRenderedPageBreak/>
        <w:t xml:space="preserve">　</w:t>
      </w:r>
      <w:r>
        <w:rPr>
          <w:rFonts w:asciiTheme="minorEastAsia" w:hAnsiTheme="minorEastAsia" w:hint="eastAsia"/>
          <w:sz w:val="24"/>
          <w:szCs w:val="24"/>
        </w:rPr>
        <w:t>⑶</w:t>
      </w:r>
      <w:r>
        <w:rPr>
          <w:rFonts w:hint="eastAsia"/>
          <w:sz w:val="24"/>
          <w:szCs w:val="24"/>
        </w:rPr>
        <w:t xml:space="preserve">　労働生産性に関する目標</w:t>
      </w:r>
    </w:p>
    <w:p w:rsidR="006809BF" w:rsidRDefault="006809BF" w:rsidP="006809BF">
      <w:pPr>
        <w:ind w:left="480" w:hangingChars="200" w:hanging="480"/>
        <w:rPr>
          <w:sz w:val="24"/>
          <w:szCs w:val="24"/>
        </w:rPr>
      </w:pPr>
      <w:r>
        <w:rPr>
          <w:rFonts w:hint="eastAsia"/>
          <w:sz w:val="24"/>
          <w:szCs w:val="24"/>
        </w:rPr>
        <w:t xml:space="preserve">　　　先端設備等導入計画を認定した事業者の労働生産性（導入促進指針に定めるものをいう。）が年率３％以上向上することを目標にする。</w:t>
      </w:r>
    </w:p>
    <w:p w:rsidR="00111E41" w:rsidRDefault="00111E41" w:rsidP="006D0F97">
      <w:pPr>
        <w:rPr>
          <w:sz w:val="24"/>
          <w:szCs w:val="24"/>
        </w:rPr>
      </w:pPr>
    </w:p>
    <w:p w:rsidR="007457D7" w:rsidRDefault="007457D7" w:rsidP="006D0F97">
      <w:pPr>
        <w:rPr>
          <w:sz w:val="24"/>
          <w:szCs w:val="24"/>
        </w:rPr>
      </w:pPr>
      <w:r>
        <w:rPr>
          <w:rFonts w:hint="eastAsia"/>
          <w:sz w:val="24"/>
          <w:szCs w:val="24"/>
        </w:rPr>
        <w:t>２　先端設備等の種類</w:t>
      </w:r>
    </w:p>
    <w:p w:rsidR="006809BF" w:rsidRDefault="006809BF" w:rsidP="006809BF">
      <w:pPr>
        <w:ind w:left="240" w:hangingChars="100" w:hanging="240"/>
        <w:rPr>
          <w:sz w:val="24"/>
          <w:szCs w:val="24"/>
        </w:rPr>
      </w:pPr>
      <w:r>
        <w:rPr>
          <w:rFonts w:hint="eastAsia"/>
          <w:sz w:val="24"/>
          <w:szCs w:val="24"/>
        </w:rPr>
        <w:t xml:space="preserve">　　各産業別人口がすべての産業で減少していることから、労働生産性を高め地域内の活性化につなげるべく、本計画において対象とする先端設備等の種類は、経済産業省関係生産性向上特別措置法施行規則第１条第１項に定める先端設備等で定める設備等のすべてとする。</w:t>
      </w:r>
    </w:p>
    <w:p w:rsidR="00111E41" w:rsidRDefault="00111E41" w:rsidP="006D0F97">
      <w:pPr>
        <w:rPr>
          <w:sz w:val="24"/>
          <w:szCs w:val="24"/>
        </w:rPr>
      </w:pPr>
    </w:p>
    <w:p w:rsidR="007457D7" w:rsidRDefault="007457D7" w:rsidP="006D0F97">
      <w:pPr>
        <w:rPr>
          <w:sz w:val="24"/>
          <w:szCs w:val="24"/>
        </w:rPr>
      </w:pPr>
      <w:r>
        <w:rPr>
          <w:rFonts w:hint="eastAsia"/>
          <w:sz w:val="24"/>
          <w:szCs w:val="24"/>
        </w:rPr>
        <w:t>３　先端設備等の導入の促進の内容に関する事項</w:t>
      </w:r>
    </w:p>
    <w:p w:rsidR="007457D7" w:rsidRDefault="007457D7" w:rsidP="006D0F97">
      <w:pPr>
        <w:rPr>
          <w:rFonts w:asciiTheme="minorEastAsia" w:hAnsiTheme="minorEastAsia"/>
          <w:sz w:val="24"/>
          <w:szCs w:val="24"/>
        </w:rPr>
      </w:pPr>
      <w:r w:rsidRPr="007457D7">
        <w:rPr>
          <w:rFonts w:asciiTheme="minorEastAsia" w:hAnsiTheme="minorEastAsia" w:hint="eastAsia"/>
          <w:sz w:val="24"/>
          <w:szCs w:val="24"/>
        </w:rPr>
        <w:t xml:space="preserve">　⑴　対象地域</w:t>
      </w:r>
    </w:p>
    <w:p w:rsidR="00113A68" w:rsidRDefault="00113A68" w:rsidP="008C74B3">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xml:space="preserve">　　　えりも町の地勢、集落及び土地利用形態においては、国道336号</w:t>
      </w:r>
      <w:r w:rsidR="008D338B">
        <w:rPr>
          <w:rFonts w:asciiTheme="minorEastAsia" w:hAnsiTheme="minorEastAsia" w:hint="eastAsia"/>
          <w:sz w:val="24"/>
          <w:szCs w:val="24"/>
        </w:rPr>
        <w:t>線</w:t>
      </w:r>
      <w:r>
        <w:rPr>
          <w:rFonts w:asciiTheme="minorEastAsia" w:hAnsiTheme="minorEastAsia" w:hint="eastAsia"/>
          <w:sz w:val="24"/>
          <w:szCs w:val="24"/>
        </w:rPr>
        <w:t>を中心に</w:t>
      </w:r>
      <w:r w:rsidR="008D338B">
        <w:rPr>
          <w:rFonts w:asciiTheme="minorEastAsia" w:hAnsiTheme="minorEastAsia" w:hint="eastAsia"/>
          <w:sz w:val="24"/>
          <w:szCs w:val="24"/>
        </w:rPr>
        <w:t>新浜、本町、大和地区で</w:t>
      </w:r>
      <w:r>
        <w:rPr>
          <w:rFonts w:asciiTheme="minorEastAsia" w:hAnsiTheme="minorEastAsia" w:hint="eastAsia"/>
          <w:sz w:val="24"/>
          <w:szCs w:val="24"/>
        </w:rPr>
        <w:t>核となる市街地が形成され、当該市街地に人口が集積し、そこにおいて多くの小売業やサービス</w:t>
      </w:r>
      <w:r w:rsidR="000C1375">
        <w:rPr>
          <w:rFonts w:asciiTheme="minorEastAsia" w:hAnsiTheme="minorEastAsia" w:hint="eastAsia"/>
          <w:sz w:val="24"/>
          <w:szCs w:val="24"/>
        </w:rPr>
        <w:t>業</w:t>
      </w:r>
      <w:r>
        <w:rPr>
          <w:rFonts w:asciiTheme="minorEastAsia" w:hAnsiTheme="minorEastAsia" w:hint="eastAsia"/>
          <w:sz w:val="24"/>
          <w:szCs w:val="24"/>
        </w:rPr>
        <w:t>、飲食業</w:t>
      </w:r>
      <w:r w:rsidR="008D338B">
        <w:rPr>
          <w:rFonts w:asciiTheme="minorEastAsia" w:hAnsiTheme="minorEastAsia" w:hint="eastAsia"/>
          <w:sz w:val="24"/>
          <w:szCs w:val="24"/>
        </w:rPr>
        <w:t>、製造業</w:t>
      </w:r>
      <w:r>
        <w:rPr>
          <w:rFonts w:asciiTheme="minorEastAsia" w:hAnsiTheme="minorEastAsia" w:hint="eastAsia"/>
          <w:sz w:val="24"/>
          <w:szCs w:val="24"/>
        </w:rPr>
        <w:t>が営まれている</w:t>
      </w:r>
      <w:r w:rsidR="008D338B">
        <w:rPr>
          <w:rFonts w:asciiTheme="minorEastAsia" w:hAnsiTheme="minorEastAsia" w:hint="eastAsia"/>
          <w:sz w:val="24"/>
          <w:szCs w:val="24"/>
        </w:rPr>
        <w:t>。このほかにも市街地に隣接している笛舞地区や</w:t>
      </w:r>
      <w:r w:rsidR="004F5202">
        <w:rPr>
          <w:rFonts w:asciiTheme="minorEastAsia" w:hAnsiTheme="minorEastAsia" w:hint="eastAsia"/>
          <w:sz w:val="24"/>
          <w:szCs w:val="24"/>
        </w:rPr>
        <w:t>襟裳岬を中心とした道道34号線</w:t>
      </w:r>
      <w:r w:rsidR="000C1375">
        <w:rPr>
          <w:rFonts w:asciiTheme="minorEastAsia" w:hAnsiTheme="minorEastAsia" w:hint="eastAsia"/>
          <w:sz w:val="24"/>
          <w:szCs w:val="24"/>
        </w:rPr>
        <w:t>にも製造業</w:t>
      </w:r>
      <w:r w:rsidR="008D338B">
        <w:rPr>
          <w:rFonts w:asciiTheme="minorEastAsia" w:hAnsiTheme="minorEastAsia" w:hint="eastAsia"/>
          <w:sz w:val="24"/>
          <w:szCs w:val="24"/>
        </w:rPr>
        <w:t>が</w:t>
      </w:r>
      <w:r w:rsidR="000C1375">
        <w:rPr>
          <w:rFonts w:asciiTheme="minorEastAsia" w:hAnsiTheme="minorEastAsia" w:hint="eastAsia"/>
          <w:sz w:val="24"/>
          <w:szCs w:val="24"/>
        </w:rPr>
        <w:t>点在している。</w:t>
      </w:r>
    </w:p>
    <w:p w:rsidR="004F5202" w:rsidRPr="004F5202" w:rsidRDefault="004F5202" w:rsidP="008C74B3">
      <w:pPr>
        <w:autoSpaceDE w:val="0"/>
        <w:autoSpaceDN w:val="0"/>
        <w:ind w:left="480" w:hangingChars="200" w:hanging="480"/>
        <w:rPr>
          <w:rFonts w:asciiTheme="minorEastAsia" w:hAnsiTheme="minorEastAsia"/>
          <w:sz w:val="24"/>
          <w:szCs w:val="24"/>
        </w:rPr>
      </w:pPr>
      <w:r>
        <w:rPr>
          <w:rFonts w:asciiTheme="minorEastAsia" w:hAnsiTheme="minorEastAsia" w:hint="eastAsia"/>
          <w:sz w:val="24"/>
          <w:szCs w:val="24"/>
        </w:rPr>
        <w:t xml:space="preserve">　　　このことから、えりも町全域を本計画の対象とする。</w:t>
      </w:r>
    </w:p>
    <w:p w:rsidR="007457D7" w:rsidRDefault="007457D7" w:rsidP="006D0F97">
      <w:pPr>
        <w:rPr>
          <w:rFonts w:asciiTheme="minorEastAsia" w:hAnsiTheme="minorEastAsia"/>
          <w:sz w:val="24"/>
          <w:szCs w:val="24"/>
        </w:rPr>
      </w:pPr>
      <w:r w:rsidRPr="007457D7">
        <w:rPr>
          <w:rFonts w:asciiTheme="minorEastAsia" w:hAnsiTheme="minorEastAsia" w:hint="eastAsia"/>
          <w:sz w:val="24"/>
          <w:szCs w:val="24"/>
        </w:rPr>
        <w:t xml:space="preserve">　⑵</w:t>
      </w:r>
      <w:r>
        <w:rPr>
          <w:rFonts w:asciiTheme="minorEastAsia" w:hAnsiTheme="minorEastAsia" w:hint="eastAsia"/>
          <w:sz w:val="24"/>
          <w:szCs w:val="24"/>
        </w:rPr>
        <w:t xml:space="preserve">　</w:t>
      </w:r>
      <w:r w:rsidRPr="007457D7">
        <w:rPr>
          <w:rFonts w:asciiTheme="minorEastAsia" w:hAnsiTheme="minorEastAsia" w:hint="eastAsia"/>
          <w:sz w:val="24"/>
          <w:szCs w:val="24"/>
        </w:rPr>
        <w:t>対象業種・事業</w:t>
      </w:r>
    </w:p>
    <w:p w:rsidR="006809BF" w:rsidRDefault="006809BF" w:rsidP="006809BF">
      <w:pPr>
        <w:ind w:left="480" w:hangingChars="200" w:hanging="480"/>
        <w:rPr>
          <w:rFonts w:asciiTheme="minorEastAsia" w:hAnsiTheme="minorEastAsia"/>
          <w:sz w:val="24"/>
          <w:szCs w:val="24"/>
        </w:rPr>
      </w:pPr>
      <w:r>
        <w:rPr>
          <w:rFonts w:asciiTheme="minorEastAsia" w:hAnsiTheme="minorEastAsia" w:hint="eastAsia"/>
          <w:sz w:val="24"/>
          <w:szCs w:val="24"/>
        </w:rPr>
        <w:t xml:space="preserve">　　　本計画において対象とする業種は</w:t>
      </w:r>
      <w:r w:rsidR="00EA094F">
        <w:rPr>
          <w:rFonts w:asciiTheme="minorEastAsia" w:hAnsiTheme="minorEastAsia" w:hint="eastAsia"/>
          <w:sz w:val="24"/>
          <w:szCs w:val="24"/>
        </w:rPr>
        <w:t>、</w:t>
      </w:r>
      <w:r>
        <w:rPr>
          <w:rFonts w:asciiTheme="minorEastAsia" w:hAnsiTheme="minorEastAsia" w:hint="eastAsia"/>
          <w:sz w:val="24"/>
          <w:szCs w:val="24"/>
        </w:rPr>
        <w:t>全業種とする。</w:t>
      </w:r>
    </w:p>
    <w:p w:rsidR="00EA094F" w:rsidRPr="00EA094F" w:rsidRDefault="00EA094F" w:rsidP="006809BF">
      <w:pPr>
        <w:ind w:left="480" w:hangingChars="200" w:hanging="480"/>
        <w:rPr>
          <w:rFonts w:asciiTheme="minorEastAsia" w:hAnsiTheme="minorEastAsia"/>
          <w:sz w:val="24"/>
          <w:szCs w:val="24"/>
        </w:rPr>
      </w:pPr>
      <w:r>
        <w:rPr>
          <w:rFonts w:asciiTheme="minorEastAsia" w:hAnsiTheme="minorEastAsia" w:hint="eastAsia"/>
          <w:sz w:val="24"/>
          <w:szCs w:val="24"/>
        </w:rPr>
        <w:t xml:space="preserve">　　　また、生産性向上に向けた事業者の取組みは、多様であるため、本計画において対象とする事業は、労働生産性が年率３％以上に資すると見込まれる事業すべてとする。</w:t>
      </w:r>
    </w:p>
    <w:p w:rsidR="00111E41" w:rsidRDefault="00111E41" w:rsidP="006D0F97">
      <w:pPr>
        <w:rPr>
          <w:rFonts w:asciiTheme="minorEastAsia" w:hAnsiTheme="minorEastAsia"/>
          <w:sz w:val="24"/>
          <w:szCs w:val="24"/>
        </w:rPr>
      </w:pPr>
    </w:p>
    <w:p w:rsidR="007457D7" w:rsidRDefault="007457D7" w:rsidP="006D0F97">
      <w:pPr>
        <w:rPr>
          <w:rFonts w:asciiTheme="minorEastAsia" w:hAnsiTheme="minorEastAsia"/>
          <w:sz w:val="24"/>
          <w:szCs w:val="24"/>
        </w:rPr>
      </w:pPr>
      <w:r>
        <w:rPr>
          <w:rFonts w:asciiTheme="minorEastAsia" w:hAnsiTheme="minorEastAsia" w:hint="eastAsia"/>
          <w:sz w:val="24"/>
          <w:szCs w:val="24"/>
        </w:rPr>
        <w:t>４　計画期間</w:t>
      </w:r>
    </w:p>
    <w:p w:rsidR="007457D7" w:rsidRDefault="007457D7" w:rsidP="007457D7">
      <w:pPr>
        <w:ind w:firstLineChars="100" w:firstLine="240"/>
        <w:rPr>
          <w:rFonts w:asciiTheme="minorEastAsia" w:hAnsiTheme="minorEastAsia"/>
          <w:sz w:val="24"/>
          <w:szCs w:val="24"/>
        </w:rPr>
      </w:pPr>
      <w:r w:rsidRPr="007457D7">
        <w:rPr>
          <w:rFonts w:asciiTheme="minorEastAsia" w:hAnsiTheme="minorEastAsia" w:hint="eastAsia"/>
          <w:sz w:val="24"/>
          <w:szCs w:val="24"/>
        </w:rPr>
        <w:t xml:space="preserve">⑴　</w:t>
      </w:r>
      <w:r>
        <w:rPr>
          <w:rFonts w:asciiTheme="minorEastAsia" w:hAnsiTheme="minorEastAsia" w:hint="eastAsia"/>
          <w:sz w:val="24"/>
          <w:szCs w:val="24"/>
        </w:rPr>
        <w:t>導入促進基本計画の計画期間</w:t>
      </w:r>
    </w:p>
    <w:p w:rsidR="007457D7" w:rsidRPr="007457D7" w:rsidRDefault="007457D7" w:rsidP="007457D7">
      <w:pPr>
        <w:ind w:firstLineChars="100" w:firstLine="240"/>
        <w:rPr>
          <w:rFonts w:asciiTheme="minorEastAsia" w:hAnsiTheme="minorEastAsia"/>
          <w:sz w:val="24"/>
          <w:szCs w:val="24"/>
        </w:rPr>
      </w:pPr>
      <w:r>
        <w:rPr>
          <w:rFonts w:asciiTheme="minorEastAsia" w:hAnsiTheme="minorEastAsia" w:hint="eastAsia"/>
          <w:sz w:val="24"/>
          <w:szCs w:val="24"/>
        </w:rPr>
        <w:t xml:space="preserve">　　国が同意した日から３年間とする。</w:t>
      </w:r>
    </w:p>
    <w:p w:rsidR="007457D7" w:rsidRDefault="007457D7" w:rsidP="007457D7">
      <w:pPr>
        <w:rPr>
          <w:rFonts w:asciiTheme="minorEastAsia" w:hAnsiTheme="minorEastAsia"/>
          <w:sz w:val="24"/>
          <w:szCs w:val="24"/>
        </w:rPr>
      </w:pPr>
      <w:r w:rsidRPr="007457D7">
        <w:rPr>
          <w:rFonts w:asciiTheme="minorEastAsia" w:hAnsiTheme="minorEastAsia" w:hint="eastAsia"/>
          <w:sz w:val="24"/>
          <w:szCs w:val="24"/>
        </w:rPr>
        <w:t xml:space="preserve">　⑵</w:t>
      </w:r>
      <w:r>
        <w:rPr>
          <w:rFonts w:asciiTheme="minorEastAsia" w:hAnsiTheme="minorEastAsia" w:hint="eastAsia"/>
          <w:sz w:val="24"/>
          <w:szCs w:val="24"/>
        </w:rPr>
        <w:t xml:space="preserve">　先端設備等導入計画の計画期間</w:t>
      </w:r>
    </w:p>
    <w:p w:rsidR="007457D7" w:rsidRDefault="007457D7" w:rsidP="007457D7">
      <w:pPr>
        <w:rPr>
          <w:rFonts w:asciiTheme="minorEastAsia" w:hAnsiTheme="minorEastAsia"/>
          <w:sz w:val="24"/>
          <w:szCs w:val="24"/>
        </w:rPr>
      </w:pPr>
      <w:r>
        <w:rPr>
          <w:rFonts w:asciiTheme="minorEastAsia" w:hAnsiTheme="minorEastAsia" w:hint="eastAsia"/>
          <w:sz w:val="24"/>
          <w:szCs w:val="24"/>
        </w:rPr>
        <w:t xml:space="preserve">　　　３年間、４年間又は５年間とする。</w:t>
      </w:r>
    </w:p>
    <w:p w:rsidR="00111E41" w:rsidRDefault="00111E41" w:rsidP="007457D7">
      <w:pPr>
        <w:rPr>
          <w:rFonts w:asciiTheme="minorEastAsia" w:hAnsiTheme="minorEastAsia"/>
          <w:sz w:val="24"/>
          <w:szCs w:val="24"/>
        </w:rPr>
      </w:pPr>
    </w:p>
    <w:p w:rsidR="007457D7" w:rsidRDefault="007457D7" w:rsidP="007457D7">
      <w:pPr>
        <w:rPr>
          <w:rFonts w:asciiTheme="minorEastAsia" w:hAnsiTheme="minorEastAsia"/>
          <w:sz w:val="24"/>
          <w:szCs w:val="24"/>
        </w:rPr>
      </w:pPr>
      <w:r>
        <w:rPr>
          <w:rFonts w:asciiTheme="minorEastAsia" w:hAnsiTheme="minorEastAsia" w:hint="eastAsia"/>
          <w:sz w:val="24"/>
          <w:szCs w:val="24"/>
        </w:rPr>
        <w:lastRenderedPageBreak/>
        <w:t>５　先端設備等の導入の促進に際し配慮すべき事項</w:t>
      </w:r>
    </w:p>
    <w:p w:rsidR="007457D7" w:rsidRDefault="007457D7" w:rsidP="007457D7">
      <w:pPr>
        <w:rPr>
          <w:rFonts w:asciiTheme="minorEastAsia" w:hAnsiTheme="minorEastAsia"/>
          <w:sz w:val="24"/>
          <w:szCs w:val="24"/>
        </w:rPr>
      </w:pPr>
      <w:r>
        <w:rPr>
          <w:rFonts w:asciiTheme="minorEastAsia" w:hAnsiTheme="minorEastAsia" w:hint="eastAsia"/>
          <w:sz w:val="24"/>
          <w:szCs w:val="24"/>
        </w:rPr>
        <w:t xml:space="preserve">　</w:t>
      </w:r>
      <w:r w:rsidRPr="007457D7">
        <w:rPr>
          <w:rFonts w:asciiTheme="minorEastAsia" w:hAnsiTheme="minorEastAsia" w:hint="eastAsia"/>
          <w:sz w:val="24"/>
          <w:szCs w:val="24"/>
        </w:rPr>
        <w:t xml:space="preserve">⑴　</w:t>
      </w:r>
      <w:r>
        <w:rPr>
          <w:rFonts w:asciiTheme="minorEastAsia" w:hAnsiTheme="minorEastAsia" w:hint="eastAsia"/>
          <w:sz w:val="24"/>
          <w:szCs w:val="24"/>
        </w:rPr>
        <w:t>雇用への配慮</w:t>
      </w:r>
    </w:p>
    <w:p w:rsidR="007457D7" w:rsidRPr="007457D7" w:rsidRDefault="007457D7" w:rsidP="006809B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6809BF">
        <w:rPr>
          <w:rFonts w:asciiTheme="minorEastAsia" w:hAnsiTheme="minorEastAsia" w:hint="eastAsia"/>
          <w:sz w:val="24"/>
          <w:szCs w:val="24"/>
        </w:rPr>
        <w:t>人員削減を目的とした取組みを計画の認定の対象としない</w:t>
      </w:r>
      <w:r w:rsidR="008D338B">
        <w:rPr>
          <w:rFonts w:asciiTheme="minorEastAsia" w:hAnsiTheme="minorEastAsia" w:hint="eastAsia"/>
          <w:sz w:val="24"/>
          <w:szCs w:val="24"/>
        </w:rPr>
        <w:t>など</w:t>
      </w:r>
      <w:r w:rsidR="006809BF">
        <w:rPr>
          <w:rFonts w:asciiTheme="minorEastAsia" w:hAnsiTheme="minorEastAsia" w:hint="eastAsia"/>
          <w:sz w:val="24"/>
          <w:szCs w:val="24"/>
        </w:rPr>
        <w:t>、雇用</w:t>
      </w:r>
      <w:r w:rsidR="008D338B">
        <w:rPr>
          <w:rFonts w:asciiTheme="minorEastAsia" w:hAnsiTheme="minorEastAsia" w:hint="eastAsia"/>
          <w:sz w:val="24"/>
          <w:szCs w:val="24"/>
        </w:rPr>
        <w:t>の</w:t>
      </w:r>
      <w:r w:rsidR="006809BF">
        <w:rPr>
          <w:rFonts w:asciiTheme="minorEastAsia" w:hAnsiTheme="minorEastAsia" w:hint="eastAsia"/>
          <w:sz w:val="24"/>
          <w:szCs w:val="24"/>
        </w:rPr>
        <w:t>安定に配慮するものとする。</w:t>
      </w:r>
    </w:p>
    <w:p w:rsidR="007457D7" w:rsidRDefault="007457D7" w:rsidP="007457D7">
      <w:pPr>
        <w:rPr>
          <w:rFonts w:asciiTheme="minorEastAsia" w:hAnsiTheme="minorEastAsia"/>
          <w:sz w:val="24"/>
          <w:szCs w:val="24"/>
        </w:rPr>
      </w:pPr>
      <w:r w:rsidRPr="007457D7">
        <w:rPr>
          <w:rFonts w:asciiTheme="minorEastAsia" w:hAnsiTheme="minorEastAsia" w:hint="eastAsia"/>
          <w:sz w:val="24"/>
          <w:szCs w:val="24"/>
        </w:rPr>
        <w:t xml:space="preserve">　⑵</w:t>
      </w:r>
      <w:r>
        <w:rPr>
          <w:rFonts w:asciiTheme="minorEastAsia" w:hAnsiTheme="minorEastAsia" w:hint="eastAsia"/>
          <w:sz w:val="24"/>
          <w:szCs w:val="24"/>
        </w:rPr>
        <w:t xml:space="preserve">　</w:t>
      </w:r>
      <w:r w:rsidRPr="007457D7">
        <w:rPr>
          <w:rFonts w:asciiTheme="minorEastAsia" w:hAnsiTheme="minorEastAsia" w:hint="eastAsia"/>
          <w:sz w:val="24"/>
          <w:szCs w:val="24"/>
        </w:rPr>
        <w:t>対象業種・事業</w:t>
      </w:r>
    </w:p>
    <w:p w:rsidR="007457D7" w:rsidRPr="007457D7" w:rsidRDefault="007457D7" w:rsidP="007457D7">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8D338B">
        <w:rPr>
          <w:rFonts w:asciiTheme="minorEastAsia" w:hAnsiTheme="minorEastAsia" w:hint="eastAsia"/>
          <w:sz w:val="24"/>
          <w:szCs w:val="24"/>
        </w:rPr>
        <w:t>えりも</w:t>
      </w:r>
      <w:r>
        <w:rPr>
          <w:rFonts w:asciiTheme="minorEastAsia" w:hAnsiTheme="minorEastAsia" w:hint="eastAsia"/>
          <w:sz w:val="24"/>
          <w:szCs w:val="24"/>
        </w:rPr>
        <w:t>町は、公序良俗に反する取組みや反社会的勢力との関係が認められるものについては、先端設備等導入計画の認定の対象としない</w:t>
      </w:r>
      <w:r w:rsidR="008D338B">
        <w:rPr>
          <w:rFonts w:asciiTheme="minorEastAsia" w:hAnsiTheme="minorEastAsia" w:hint="eastAsia"/>
          <w:sz w:val="24"/>
          <w:szCs w:val="24"/>
        </w:rPr>
        <w:t>など</w:t>
      </w:r>
      <w:r>
        <w:rPr>
          <w:rFonts w:asciiTheme="minorEastAsia" w:hAnsiTheme="minorEastAsia" w:hint="eastAsia"/>
          <w:sz w:val="24"/>
          <w:szCs w:val="24"/>
        </w:rPr>
        <w:t>、健全な地域経済の発展に配慮するものとする。</w:t>
      </w:r>
    </w:p>
    <w:p w:rsidR="007457D7" w:rsidRPr="003E2EDC" w:rsidRDefault="007457D7" w:rsidP="006D0F97">
      <w:pPr>
        <w:rPr>
          <w:sz w:val="24"/>
          <w:szCs w:val="24"/>
        </w:rPr>
      </w:pPr>
      <w:r>
        <w:rPr>
          <w:rFonts w:hint="eastAsia"/>
          <w:sz w:val="24"/>
          <w:szCs w:val="24"/>
        </w:rPr>
        <w:t xml:space="preserve">　</w:t>
      </w:r>
    </w:p>
    <w:sectPr w:rsidR="007457D7" w:rsidRPr="003E2EDC" w:rsidSect="003A2479">
      <w:pgSz w:w="11906" w:h="16838" w:code="9"/>
      <w:pgMar w:top="1985" w:right="1701" w:bottom="1701" w:left="1701" w:header="851" w:footer="992" w:gutter="0"/>
      <w:paperSrc w:first="261" w:other="261"/>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89" w:rsidRDefault="00A66189" w:rsidP="00A66189">
      <w:r>
        <w:separator/>
      </w:r>
    </w:p>
  </w:endnote>
  <w:endnote w:type="continuationSeparator" w:id="0">
    <w:p w:rsidR="00A66189" w:rsidRDefault="00A66189" w:rsidP="00A6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89" w:rsidRDefault="00A66189" w:rsidP="00A66189">
      <w:r>
        <w:separator/>
      </w:r>
    </w:p>
  </w:footnote>
  <w:footnote w:type="continuationSeparator" w:id="0">
    <w:p w:rsidR="00A66189" w:rsidRDefault="00A66189" w:rsidP="00A66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97"/>
    <w:rsid w:val="000801F8"/>
    <w:rsid w:val="000B6F72"/>
    <w:rsid w:val="000C1375"/>
    <w:rsid w:val="00111E41"/>
    <w:rsid w:val="00113A68"/>
    <w:rsid w:val="00173D26"/>
    <w:rsid w:val="001801D8"/>
    <w:rsid w:val="0032225A"/>
    <w:rsid w:val="0037563B"/>
    <w:rsid w:val="003A2479"/>
    <w:rsid w:val="003E2EDC"/>
    <w:rsid w:val="004660F9"/>
    <w:rsid w:val="004F5202"/>
    <w:rsid w:val="005049D7"/>
    <w:rsid w:val="00515F95"/>
    <w:rsid w:val="005B0C76"/>
    <w:rsid w:val="006809BF"/>
    <w:rsid w:val="006D0F97"/>
    <w:rsid w:val="007457D7"/>
    <w:rsid w:val="0077526E"/>
    <w:rsid w:val="00797C8B"/>
    <w:rsid w:val="007E0F73"/>
    <w:rsid w:val="008171CC"/>
    <w:rsid w:val="00821B0C"/>
    <w:rsid w:val="008C74B3"/>
    <w:rsid w:val="008D338B"/>
    <w:rsid w:val="009E7108"/>
    <w:rsid w:val="00A66189"/>
    <w:rsid w:val="00BB2441"/>
    <w:rsid w:val="00C44434"/>
    <w:rsid w:val="00C55A33"/>
    <w:rsid w:val="00D40123"/>
    <w:rsid w:val="00E13356"/>
    <w:rsid w:val="00EA094F"/>
    <w:rsid w:val="00FE6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4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2441"/>
    <w:rPr>
      <w:rFonts w:asciiTheme="majorHAnsi" w:eastAsiaTheme="majorEastAsia" w:hAnsiTheme="majorHAnsi" w:cstheme="majorBidi"/>
      <w:sz w:val="18"/>
      <w:szCs w:val="18"/>
    </w:rPr>
  </w:style>
  <w:style w:type="paragraph" w:styleId="a6">
    <w:name w:val="caption"/>
    <w:basedOn w:val="a"/>
    <w:next w:val="a"/>
    <w:uiPriority w:val="35"/>
    <w:unhideWhenUsed/>
    <w:qFormat/>
    <w:rsid w:val="000B6F72"/>
    <w:rPr>
      <w:b/>
      <w:bCs/>
      <w:szCs w:val="21"/>
    </w:rPr>
  </w:style>
  <w:style w:type="paragraph" w:styleId="a7">
    <w:name w:val="header"/>
    <w:basedOn w:val="a"/>
    <w:link w:val="a8"/>
    <w:uiPriority w:val="99"/>
    <w:unhideWhenUsed/>
    <w:rsid w:val="00A66189"/>
    <w:pPr>
      <w:tabs>
        <w:tab w:val="center" w:pos="4252"/>
        <w:tab w:val="right" w:pos="8504"/>
      </w:tabs>
      <w:snapToGrid w:val="0"/>
    </w:pPr>
  </w:style>
  <w:style w:type="character" w:customStyle="1" w:styleId="a8">
    <w:name w:val="ヘッダー (文字)"/>
    <w:basedOn w:val="a0"/>
    <w:link w:val="a7"/>
    <w:uiPriority w:val="99"/>
    <w:rsid w:val="00A66189"/>
  </w:style>
  <w:style w:type="paragraph" w:styleId="a9">
    <w:name w:val="footer"/>
    <w:basedOn w:val="a"/>
    <w:link w:val="aa"/>
    <w:uiPriority w:val="99"/>
    <w:unhideWhenUsed/>
    <w:rsid w:val="00A66189"/>
    <w:pPr>
      <w:tabs>
        <w:tab w:val="center" w:pos="4252"/>
        <w:tab w:val="right" w:pos="8504"/>
      </w:tabs>
      <w:snapToGrid w:val="0"/>
    </w:pPr>
  </w:style>
  <w:style w:type="character" w:customStyle="1" w:styleId="aa">
    <w:name w:val="フッター (文字)"/>
    <w:basedOn w:val="a0"/>
    <w:link w:val="a9"/>
    <w:uiPriority w:val="99"/>
    <w:rsid w:val="00A66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4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2441"/>
    <w:rPr>
      <w:rFonts w:asciiTheme="majorHAnsi" w:eastAsiaTheme="majorEastAsia" w:hAnsiTheme="majorHAnsi" w:cstheme="majorBidi"/>
      <w:sz w:val="18"/>
      <w:szCs w:val="18"/>
    </w:rPr>
  </w:style>
  <w:style w:type="paragraph" w:styleId="a6">
    <w:name w:val="caption"/>
    <w:basedOn w:val="a"/>
    <w:next w:val="a"/>
    <w:uiPriority w:val="35"/>
    <w:unhideWhenUsed/>
    <w:qFormat/>
    <w:rsid w:val="000B6F72"/>
    <w:rPr>
      <w:b/>
      <w:bCs/>
      <w:szCs w:val="21"/>
    </w:rPr>
  </w:style>
  <w:style w:type="paragraph" w:styleId="a7">
    <w:name w:val="header"/>
    <w:basedOn w:val="a"/>
    <w:link w:val="a8"/>
    <w:uiPriority w:val="99"/>
    <w:unhideWhenUsed/>
    <w:rsid w:val="00A66189"/>
    <w:pPr>
      <w:tabs>
        <w:tab w:val="center" w:pos="4252"/>
        <w:tab w:val="right" w:pos="8504"/>
      </w:tabs>
      <w:snapToGrid w:val="0"/>
    </w:pPr>
  </w:style>
  <w:style w:type="character" w:customStyle="1" w:styleId="a8">
    <w:name w:val="ヘッダー (文字)"/>
    <w:basedOn w:val="a0"/>
    <w:link w:val="a7"/>
    <w:uiPriority w:val="99"/>
    <w:rsid w:val="00A66189"/>
  </w:style>
  <w:style w:type="paragraph" w:styleId="a9">
    <w:name w:val="footer"/>
    <w:basedOn w:val="a"/>
    <w:link w:val="aa"/>
    <w:uiPriority w:val="99"/>
    <w:unhideWhenUsed/>
    <w:rsid w:val="00A66189"/>
    <w:pPr>
      <w:tabs>
        <w:tab w:val="center" w:pos="4252"/>
        <w:tab w:val="right" w:pos="8504"/>
      </w:tabs>
      <w:snapToGrid w:val="0"/>
    </w:pPr>
  </w:style>
  <w:style w:type="character" w:customStyle="1" w:styleId="aa">
    <w:name w:val="フッター (文字)"/>
    <w:basedOn w:val="a0"/>
    <w:link w:val="a9"/>
    <w:uiPriority w:val="99"/>
    <w:rsid w:val="00A6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latin typeface="+mj-ea"/>
                <a:ea typeface="+mj-ea"/>
              </a:defRPr>
            </a:pPr>
            <a:r>
              <a:rPr lang="ja-JP" altLang="en-US" sz="1050" b="0">
                <a:latin typeface="+mj-ea"/>
                <a:ea typeface="+mj-ea"/>
              </a:rPr>
              <a:t>産業別就業者率</a:t>
            </a:r>
          </a:p>
        </c:rich>
      </c:tx>
      <c:layout/>
      <c:overlay val="0"/>
    </c:title>
    <c:autoTitleDeleted val="0"/>
    <c:plotArea>
      <c:layout/>
      <c:pieChart>
        <c:varyColors val="1"/>
        <c:ser>
          <c:idx val="0"/>
          <c:order val="0"/>
          <c:tx>
            <c:strRef>
              <c:f>Sheet1!$B$1</c:f>
              <c:strCache>
                <c:ptCount val="1"/>
                <c:pt idx="0">
                  <c:v>売上高</c:v>
                </c:pt>
              </c:strCache>
            </c:strRef>
          </c:tx>
          <c:dLbls>
            <c:dLbl>
              <c:idx val="0"/>
              <c:layout>
                <c:manualLayout>
                  <c:x val="-0.21155475491762793"/>
                  <c:y val="-1.5749108284541357E-2"/>
                </c:manualLayout>
              </c:layout>
              <c:showLegendKey val="0"/>
              <c:showVal val="0"/>
              <c:showCatName val="1"/>
              <c:showSerName val="0"/>
              <c:showPercent val="1"/>
              <c:showBubbleSize val="0"/>
            </c:dLbl>
            <c:dLbl>
              <c:idx val="2"/>
              <c:layout>
                <c:manualLayout>
                  <c:x val="0.20122846267832756"/>
                  <c:y val="8.4843932969917227E-2"/>
                </c:manualLayout>
              </c:layout>
              <c:showLegendKey val="0"/>
              <c:showVal val="0"/>
              <c:showCatName val="1"/>
              <c:showSerName val="0"/>
              <c:showPercent val="1"/>
              <c:showBubbleSize val="0"/>
            </c:dLbl>
            <c:dLbl>
              <c:idx val="3"/>
              <c:layout>
                <c:manualLayout>
                  <c:x val="0.35275550171613163"/>
                  <c:y val="5.5E-2"/>
                </c:manualLayout>
              </c:layout>
              <c:showLegendKey val="0"/>
              <c:showVal val="0"/>
              <c:showCatName val="1"/>
              <c:showSerName val="0"/>
              <c:showPercent val="1"/>
              <c:showBubbleSize val="0"/>
            </c:dLbl>
            <c:txPr>
              <a:bodyPr/>
              <a:lstStyle/>
              <a:p>
                <a:pPr>
                  <a:defRPr>
                    <a:latin typeface="+mn-ea"/>
                    <a:ea typeface="+mn-ea"/>
                  </a:defRPr>
                </a:pPr>
                <a:endParaRPr lang="ja-JP"/>
              </a:p>
            </c:txPr>
            <c:showLegendKey val="0"/>
            <c:showVal val="0"/>
            <c:showCatName val="1"/>
            <c:showSerName val="0"/>
            <c:showPercent val="1"/>
            <c:showBubbleSize val="0"/>
            <c:showLeaderLines val="1"/>
          </c:dLbls>
          <c:cat>
            <c:strRef>
              <c:f>Sheet1!$A$2:$A$5</c:f>
              <c:strCache>
                <c:ptCount val="4"/>
                <c:pt idx="0">
                  <c:v>第１次産業</c:v>
                </c:pt>
                <c:pt idx="1">
                  <c:v>第２次産業</c:v>
                </c:pt>
                <c:pt idx="2">
                  <c:v>第３次産業</c:v>
                </c:pt>
                <c:pt idx="3">
                  <c:v>分類不能</c:v>
                </c:pt>
              </c:strCache>
            </c:strRef>
          </c:cat>
          <c:val>
            <c:numRef>
              <c:f>Sheet1!$B$2:$B$5</c:f>
              <c:numCache>
                <c:formatCode>0.00%</c:formatCode>
                <c:ptCount val="4"/>
                <c:pt idx="0">
                  <c:v>0.50049999999999994</c:v>
                </c:pt>
                <c:pt idx="1">
                  <c:v>0.10249999999999999</c:v>
                </c:pt>
                <c:pt idx="2">
                  <c:v>0.39129999999999998</c:v>
                </c:pt>
                <c:pt idx="3">
                  <c:v>5.7000000000000002E-3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latin typeface="+mj-ea"/>
                <a:ea typeface="+mj-ea"/>
              </a:defRPr>
            </a:pPr>
            <a:r>
              <a:rPr lang="ja-JP" altLang="en-US" sz="1200" b="0">
                <a:latin typeface="+mj-ea"/>
                <a:ea typeface="+mj-ea"/>
              </a:rPr>
              <a:t>付加価値額割合</a:t>
            </a:r>
          </a:p>
        </c:rich>
      </c:tx>
      <c:layout/>
      <c:overlay val="0"/>
    </c:title>
    <c:autoTitleDeleted val="0"/>
    <c:plotArea>
      <c:layout/>
      <c:pieChart>
        <c:varyColors val="1"/>
        <c:ser>
          <c:idx val="0"/>
          <c:order val="0"/>
          <c:tx>
            <c:strRef>
              <c:f>Sheet1!$B$1</c:f>
              <c:strCache>
                <c:ptCount val="1"/>
                <c:pt idx="0">
                  <c:v>付加価値額割合</c:v>
                </c:pt>
              </c:strCache>
            </c:strRef>
          </c:tx>
          <c:dLbls>
            <c:txPr>
              <a:bodyPr/>
              <a:lstStyle/>
              <a:p>
                <a:pPr>
                  <a:defRPr>
                    <a:latin typeface="+mn-ea"/>
                    <a:ea typeface="+mn-ea"/>
                  </a:defRPr>
                </a:pPr>
                <a:endParaRPr lang="ja-JP"/>
              </a:p>
            </c:txPr>
            <c:showLegendKey val="0"/>
            <c:showVal val="0"/>
            <c:showCatName val="1"/>
            <c:showSerName val="0"/>
            <c:showPercent val="1"/>
            <c:showBubbleSize val="0"/>
            <c:showLeaderLines val="1"/>
          </c:dLbls>
          <c:cat>
            <c:strRef>
              <c:f>Sheet1!$A$2:$A$10</c:f>
              <c:strCache>
                <c:ptCount val="8"/>
                <c:pt idx="0">
                  <c:v>農林漁業</c:v>
                </c:pt>
                <c:pt idx="1">
                  <c:v>建設業</c:v>
                </c:pt>
                <c:pt idx="2">
                  <c:v>製造業</c:v>
                </c:pt>
                <c:pt idx="3">
                  <c:v>運輸業・郵便業</c:v>
                </c:pt>
                <c:pt idx="4">
                  <c:v>卸売業・小売業</c:v>
                </c:pt>
                <c:pt idx="5">
                  <c:v>宿泊業・飲食サービス業</c:v>
                </c:pt>
                <c:pt idx="6">
                  <c:v>医療・福祉</c:v>
                </c:pt>
                <c:pt idx="7">
                  <c:v>その他</c:v>
                </c:pt>
              </c:strCache>
            </c:strRef>
          </c:cat>
          <c:val>
            <c:numRef>
              <c:f>Sheet1!$B$2:$B$10</c:f>
              <c:numCache>
                <c:formatCode>General</c:formatCode>
                <c:ptCount val="9"/>
                <c:pt idx="0" formatCode="#,##0">
                  <c:v>1177</c:v>
                </c:pt>
                <c:pt idx="1">
                  <c:v>394</c:v>
                </c:pt>
                <c:pt idx="2">
                  <c:v>497</c:v>
                </c:pt>
                <c:pt idx="3">
                  <c:v>171</c:v>
                </c:pt>
                <c:pt idx="4" formatCode="#,##0">
                  <c:v>1078</c:v>
                </c:pt>
                <c:pt idx="5" formatCode="#,##0">
                  <c:v>2618</c:v>
                </c:pt>
                <c:pt idx="6">
                  <c:v>207</c:v>
                </c:pt>
                <c:pt idx="7">
                  <c:v>687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mj-ea"/>
                <a:ea typeface="+mj-ea"/>
              </a:defRPr>
            </a:pPr>
            <a:r>
              <a:rPr lang="ja-JP" altLang="en-US" sz="1200">
                <a:latin typeface="+mj-ea"/>
                <a:ea typeface="+mj-ea"/>
              </a:rPr>
              <a:t>経営者等の年齢構成</a:t>
            </a:r>
          </a:p>
        </c:rich>
      </c:tx>
      <c:overlay val="0"/>
    </c:title>
    <c:autoTitleDeleted val="0"/>
    <c:plotArea>
      <c:layout/>
      <c:lineChart>
        <c:grouping val="standard"/>
        <c:varyColors val="0"/>
        <c:ser>
          <c:idx val="0"/>
          <c:order val="0"/>
          <c:tx>
            <c:strRef>
              <c:f>Sheet1!$B$1</c:f>
              <c:strCache>
                <c:ptCount val="1"/>
                <c:pt idx="0">
                  <c:v>H17</c:v>
                </c:pt>
              </c:strCache>
            </c:strRef>
          </c:tx>
          <c:marker>
            <c:symbol val="none"/>
          </c:marker>
          <c:cat>
            <c:strRef>
              <c:f>Sheet1!$A$2:$A$16</c:f>
              <c:strCache>
                <c:ptCount val="15"/>
                <c:pt idx="0">
                  <c:v>15～19歳</c:v>
                </c:pt>
                <c:pt idx="1">
                  <c:v>20～24歳</c:v>
                </c:pt>
                <c:pt idx="2">
                  <c:v>25～29歳</c:v>
                </c:pt>
                <c:pt idx="3">
                  <c:v>30～34歳</c:v>
                </c:pt>
                <c:pt idx="4">
                  <c:v>35～39歳</c:v>
                </c:pt>
                <c:pt idx="5">
                  <c:v>40～44歳</c:v>
                </c:pt>
                <c:pt idx="6">
                  <c:v>45～49歳</c:v>
                </c:pt>
                <c:pt idx="7">
                  <c:v>50～54歳</c:v>
                </c:pt>
                <c:pt idx="8">
                  <c:v>55～59歳</c:v>
                </c:pt>
                <c:pt idx="9">
                  <c:v>60～64歳</c:v>
                </c:pt>
                <c:pt idx="10">
                  <c:v>65～69歳</c:v>
                </c:pt>
                <c:pt idx="11">
                  <c:v>70～74歳</c:v>
                </c:pt>
                <c:pt idx="12">
                  <c:v>75～79歳</c:v>
                </c:pt>
                <c:pt idx="13">
                  <c:v>80～84歳</c:v>
                </c:pt>
                <c:pt idx="14">
                  <c:v>85歳以上</c:v>
                </c:pt>
              </c:strCache>
            </c:strRef>
          </c:cat>
          <c:val>
            <c:numRef>
              <c:f>Sheet1!$B$2:$B$16</c:f>
              <c:numCache>
                <c:formatCode>General</c:formatCode>
                <c:ptCount val="15"/>
                <c:pt idx="0">
                  <c:v>0</c:v>
                </c:pt>
                <c:pt idx="1">
                  <c:v>0</c:v>
                </c:pt>
                <c:pt idx="2">
                  <c:v>0</c:v>
                </c:pt>
                <c:pt idx="3">
                  <c:v>3</c:v>
                </c:pt>
                <c:pt idx="4">
                  <c:v>1</c:v>
                </c:pt>
                <c:pt idx="5">
                  <c:v>2</c:v>
                </c:pt>
                <c:pt idx="6">
                  <c:v>8</c:v>
                </c:pt>
                <c:pt idx="7">
                  <c:v>18</c:v>
                </c:pt>
                <c:pt idx="8">
                  <c:v>17</c:v>
                </c:pt>
                <c:pt idx="9">
                  <c:v>8</c:v>
                </c:pt>
                <c:pt idx="10">
                  <c:v>8</c:v>
                </c:pt>
                <c:pt idx="11">
                  <c:v>3</c:v>
                </c:pt>
                <c:pt idx="12">
                  <c:v>7</c:v>
                </c:pt>
                <c:pt idx="13">
                  <c:v>0</c:v>
                </c:pt>
                <c:pt idx="14">
                  <c:v>0</c:v>
                </c:pt>
              </c:numCache>
            </c:numRef>
          </c:val>
          <c:smooth val="0"/>
        </c:ser>
        <c:ser>
          <c:idx val="1"/>
          <c:order val="1"/>
          <c:tx>
            <c:strRef>
              <c:f>Sheet1!$C$1</c:f>
              <c:strCache>
                <c:ptCount val="1"/>
                <c:pt idx="0">
                  <c:v>H27</c:v>
                </c:pt>
              </c:strCache>
            </c:strRef>
          </c:tx>
          <c:marker>
            <c:symbol val="none"/>
          </c:marker>
          <c:cat>
            <c:strRef>
              <c:f>Sheet1!$A$2:$A$16</c:f>
              <c:strCache>
                <c:ptCount val="15"/>
                <c:pt idx="0">
                  <c:v>15～19歳</c:v>
                </c:pt>
                <c:pt idx="1">
                  <c:v>20～24歳</c:v>
                </c:pt>
                <c:pt idx="2">
                  <c:v>25～29歳</c:v>
                </c:pt>
                <c:pt idx="3">
                  <c:v>30～34歳</c:v>
                </c:pt>
                <c:pt idx="4">
                  <c:v>35～39歳</c:v>
                </c:pt>
                <c:pt idx="5">
                  <c:v>40～44歳</c:v>
                </c:pt>
                <c:pt idx="6">
                  <c:v>45～49歳</c:v>
                </c:pt>
                <c:pt idx="7">
                  <c:v>50～54歳</c:v>
                </c:pt>
                <c:pt idx="8">
                  <c:v>55～59歳</c:v>
                </c:pt>
                <c:pt idx="9">
                  <c:v>60～64歳</c:v>
                </c:pt>
                <c:pt idx="10">
                  <c:v>65～69歳</c:v>
                </c:pt>
                <c:pt idx="11">
                  <c:v>70～74歳</c:v>
                </c:pt>
                <c:pt idx="12">
                  <c:v>75～79歳</c:v>
                </c:pt>
                <c:pt idx="13">
                  <c:v>80～84歳</c:v>
                </c:pt>
                <c:pt idx="14">
                  <c:v>85歳以上</c:v>
                </c:pt>
              </c:strCache>
            </c:strRef>
          </c:cat>
          <c:val>
            <c:numRef>
              <c:f>Sheet1!$C$2:$C$16</c:f>
              <c:numCache>
                <c:formatCode>General</c:formatCode>
                <c:ptCount val="15"/>
                <c:pt idx="0">
                  <c:v>0</c:v>
                </c:pt>
                <c:pt idx="1">
                  <c:v>0</c:v>
                </c:pt>
                <c:pt idx="2">
                  <c:v>0</c:v>
                </c:pt>
                <c:pt idx="3">
                  <c:v>0</c:v>
                </c:pt>
                <c:pt idx="4">
                  <c:v>1</c:v>
                </c:pt>
                <c:pt idx="5">
                  <c:v>6</c:v>
                </c:pt>
                <c:pt idx="6">
                  <c:v>4</c:v>
                </c:pt>
                <c:pt idx="7">
                  <c:v>5</c:v>
                </c:pt>
                <c:pt idx="8">
                  <c:v>11</c:v>
                </c:pt>
                <c:pt idx="9">
                  <c:v>14</c:v>
                </c:pt>
                <c:pt idx="10">
                  <c:v>4</c:v>
                </c:pt>
                <c:pt idx="11">
                  <c:v>6</c:v>
                </c:pt>
                <c:pt idx="12">
                  <c:v>3</c:v>
                </c:pt>
                <c:pt idx="13">
                  <c:v>2</c:v>
                </c:pt>
                <c:pt idx="14">
                  <c:v>1</c:v>
                </c:pt>
              </c:numCache>
            </c:numRef>
          </c:val>
          <c:smooth val="0"/>
        </c:ser>
        <c:dLbls>
          <c:showLegendKey val="0"/>
          <c:showVal val="0"/>
          <c:showCatName val="0"/>
          <c:showSerName val="0"/>
          <c:showPercent val="0"/>
          <c:showBubbleSize val="0"/>
        </c:dLbls>
        <c:marker val="1"/>
        <c:smooth val="0"/>
        <c:axId val="89111040"/>
        <c:axId val="56745280"/>
      </c:lineChart>
      <c:catAx>
        <c:axId val="89111040"/>
        <c:scaling>
          <c:orientation val="minMax"/>
        </c:scaling>
        <c:delete val="0"/>
        <c:axPos val="b"/>
        <c:majorTickMark val="none"/>
        <c:minorTickMark val="none"/>
        <c:tickLblPos val="nextTo"/>
        <c:txPr>
          <a:bodyPr/>
          <a:lstStyle/>
          <a:p>
            <a:pPr>
              <a:defRPr baseline="0">
                <a:latin typeface="+mn-ea"/>
                <a:ea typeface="+mn-ea"/>
              </a:defRPr>
            </a:pPr>
            <a:endParaRPr lang="ja-JP"/>
          </a:p>
        </c:txPr>
        <c:crossAx val="56745280"/>
        <c:crosses val="autoZero"/>
        <c:auto val="1"/>
        <c:lblAlgn val="ctr"/>
        <c:lblOffset val="100"/>
        <c:noMultiLvlLbl val="0"/>
      </c:catAx>
      <c:valAx>
        <c:axId val="56745280"/>
        <c:scaling>
          <c:orientation val="minMax"/>
        </c:scaling>
        <c:delete val="0"/>
        <c:axPos val="l"/>
        <c:majorGridlines/>
        <c:numFmt formatCode="General" sourceLinked="1"/>
        <c:majorTickMark val="none"/>
        <c:minorTickMark val="none"/>
        <c:tickLblPos val="nextTo"/>
        <c:txPr>
          <a:bodyPr/>
          <a:lstStyle/>
          <a:p>
            <a:pPr>
              <a:defRPr baseline="0">
                <a:latin typeface="+mn-ea"/>
                <a:ea typeface="+mn-ea"/>
              </a:defRPr>
            </a:pPr>
            <a:endParaRPr lang="ja-JP"/>
          </a:p>
        </c:txPr>
        <c:crossAx val="89111040"/>
        <c:crosses val="autoZero"/>
        <c:crossBetween val="between"/>
      </c:valAx>
    </c:plotArea>
    <c:legend>
      <c:legendPos val="r"/>
      <c:overlay val="0"/>
      <c:txPr>
        <a:bodyPr/>
        <a:lstStyle/>
        <a:p>
          <a:pPr>
            <a:defRPr baseline="0">
              <a:latin typeface="+mn-ea"/>
              <a:ea typeface="+mn-ea"/>
            </a:defRPr>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TotalTime>
  <Pages>5</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中川雅三</dc:creator>
  <cp:lastModifiedBy>中川　雅三</cp:lastModifiedBy>
  <cp:revision>8</cp:revision>
  <cp:lastPrinted>2018-06-21T02:17:00Z</cp:lastPrinted>
  <dcterms:created xsi:type="dcterms:W3CDTF">2018-06-12T10:21:00Z</dcterms:created>
  <dcterms:modified xsi:type="dcterms:W3CDTF">2018-10-05T00:30:00Z</dcterms:modified>
</cp:coreProperties>
</file>